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铜川市脱贫地区儿童营养改善项目</w:t>
      </w:r>
    </w:p>
    <w:p>
      <w:pPr>
        <w:pStyle w:val="null3"/>
        <w:jc w:val="center"/>
        <w:outlineLvl w:val="2"/>
      </w:pPr>
      <w:r>
        <w:rPr>
          <w:sz w:val="28"/>
          <w:b/>
        </w:rPr>
        <w:t>采购项目编号：</w:t>
      </w:r>
      <w:r>
        <w:rPr>
          <w:sz w:val="28"/>
          <w:b/>
        </w:rPr>
        <w:t>SXGLZFCG2024-049</w:t>
      </w:r>
      <w:r>
        <w:br/>
      </w:r>
      <w:r>
        <w:br/>
      </w:r>
      <w:r>
        <w:br/>
      </w:r>
    </w:p>
    <w:p>
      <w:pPr>
        <w:pStyle w:val="null3"/>
        <w:jc w:val="center"/>
        <w:outlineLvl w:val="2"/>
      </w:pPr>
      <w:r>
        <w:rPr>
          <w:sz w:val="28"/>
          <w:b/>
        </w:rPr>
        <w:t>铜川市妇幼保健院</w:t>
      </w:r>
    </w:p>
    <w:p>
      <w:pPr>
        <w:pStyle w:val="null3"/>
        <w:jc w:val="center"/>
        <w:outlineLvl w:val="2"/>
      </w:pPr>
      <w:r>
        <w:rPr>
          <w:sz w:val="28"/>
          <w:b/>
        </w:rPr>
        <w:t>陕西公立工程项目管理咨询有限公司</w:t>
      </w:r>
      <w:r>
        <w:rPr>
          <w:sz w:val="28"/>
          <w:b/>
        </w:rPr>
        <w:t>共同编制</w:t>
      </w:r>
    </w:p>
    <w:p>
      <w:pPr>
        <w:pStyle w:val="null3"/>
        <w:jc w:val="center"/>
        <w:outlineLvl w:val="2"/>
      </w:pPr>
      <w:r>
        <w:rPr>
          <w:sz w:val="28"/>
          <w:b/>
        </w:rPr>
        <w:t>2024年11月04日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陕西公立工程项目管理咨询有限公司</w:t>
      </w:r>
      <w:r>
        <w:rPr/>
        <w:t>（以下简称“代理机构”）受</w:t>
      </w:r>
      <w:r>
        <w:rPr/>
        <w:t>铜川市妇幼保健院</w:t>
      </w:r>
      <w:r>
        <w:rPr/>
        <w:t>委托，拟对</w:t>
      </w:r>
      <w:r>
        <w:rPr/>
        <w:t>铜川市脱贫地区儿童营养改善项目</w:t>
      </w:r>
      <w:r>
        <w:rPr/>
        <w:t>采用竞争性磋商采购方式进行采购，兹邀请供应商参加本项目的竞争性磋商。</w:t>
      </w:r>
    </w:p>
    <w:p>
      <w:pPr>
        <w:pStyle w:val="null3"/>
        <w:outlineLvl w:val="2"/>
      </w:pPr>
      <w:r>
        <w:rPr>
          <w:sz w:val="28"/>
          <w:b/>
        </w:rPr>
        <w:t>一、项目编号：</w:t>
      </w:r>
      <w:r>
        <w:rPr>
          <w:sz w:val="28"/>
          <w:b/>
        </w:rPr>
        <w:t>SXGLZFCG2024-049</w:t>
      </w:r>
    </w:p>
    <w:p>
      <w:pPr>
        <w:pStyle w:val="null3"/>
        <w:outlineLvl w:val="2"/>
      </w:pPr>
      <w:r>
        <w:rPr>
          <w:sz w:val="28"/>
          <w:b/>
        </w:rPr>
        <w:t>二、项目名称：</w:t>
      </w:r>
      <w:r>
        <w:rPr>
          <w:sz w:val="28"/>
          <w:b/>
        </w:rPr>
        <w:t>铜川市脱贫地区儿童营养改善项目</w:t>
      </w:r>
    </w:p>
    <w:p>
      <w:pPr>
        <w:pStyle w:val="null3"/>
        <w:outlineLvl w:val="2"/>
      </w:pPr>
      <w:r>
        <w:rPr>
          <w:sz w:val="28"/>
          <w:b/>
        </w:rPr>
        <w:t>三、磋商项目简介</w:t>
      </w:r>
    </w:p>
    <w:p>
      <w:pPr>
        <w:pStyle w:val="null3"/>
        <w:ind w:firstLine="480"/>
      </w:pPr>
      <w:r>
        <w:rPr/>
        <w:t>婴幼儿辅食营养包。 适宜人群：6-36月龄婴幼儿。选用非转基因的食品原料。 主要功能或目标：脱贫地区儿童营养 改善项目是为脱贫地区6-24月龄婴幼儿补充辅食营养补充品，降低脱贫地区婴幼儿贫血率和生长迟缓率，持续改善营养 和健康状况，提高家长科学喂养知识水平，保障儿童健康成长。</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采购包1（铜川市脱贫地区儿童营养改善项目）：属于专门面向中小企业采购。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2、法定代表人委托授权书：法定代表人授权书（附法定代表人身份证复印件）及被授权人身份证（法定代表人直接参加 谈判只须提供法定代表人身份证）；</w:t>
      </w:r>
    </w:p>
    <w:p>
      <w:pPr>
        <w:pStyle w:val="null3"/>
      </w:pPr>
      <w:r>
        <w:rPr/>
        <w:t>3、营养包相关食品生产许可证：供应商应当具备市场监管部门颁发的营养包相关食品生产许可证，副本（或副页）中载明辅食营养补充品（或辅食营养素补充食品）生产明细，且在有效期内；</w:t>
      </w:r>
    </w:p>
    <w:p>
      <w:pPr>
        <w:pStyle w:val="null3"/>
      </w:pPr>
      <w:r>
        <w:rPr/>
        <w:t>4、没有因食品安全问题导致产品召回的书面声明：供应商在投标截止日前一年内，在同类营养包项目供货过程中因存在食品安全问题导致产品一级召回或二级召回的不得参与本次投标。需提供1年内在同类营养包项目供货过程中没有因食品安全问题导致产品一级召回或二级召回的书面声明；</w:t>
      </w:r>
    </w:p>
    <w:p>
      <w:pPr>
        <w:pStyle w:val="null3"/>
      </w:pPr>
      <w:r>
        <w:rPr/>
        <w:t>5、财务状况报告：须提供近3年任意一年度的财务报表或具有财务审计资质的单位出具的财务报告（至少包括资产负债 表和利润表，成立时间至提交投标文件截止时间不足一年的可提供成立后任意时段的资产负债表），或银行出具的资信证明；</w:t>
      </w:r>
    </w:p>
    <w:p>
      <w:pPr>
        <w:pStyle w:val="null3"/>
      </w:pPr>
      <w:r>
        <w:rPr/>
        <w:t>6、税收缴纳证明：提供上一年度至今已缴纳的至少一个月的纳税证明或完税证明，依法免税的单位应提供相关证明材料；</w:t>
      </w:r>
    </w:p>
    <w:p>
      <w:pPr>
        <w:pStyle w:val="null3"/>
      </w:pPr>
      <w:r>
        <w:rPr/>
        <w:t>7、社会保障资金缴纳证明：提供上一年度至今已缴存的至少一个月的有效社会保障资金缴纳证明。依法不需要缴纳社会保障资金的单位应提供相关证明材料；</w:t>
      </w:r>
    </w:p>
    <w:p>
      <w:pPr>
        <w:pStyle w:val="null3"/>
      </w:pPr>
      <w:r>
        <w:rPr/>
        <w:t>8、无重大违法记录声明：供应商参加采购活动近3年内经营活动中无重大违法记录声明；</w:t>
      </w:r>
    </w:p>
    <w:p>
      <w:pPr>
        <w:pStyle w:val="null3"/>
      </w:pPr>
      <w:r>
        <w:rPr/>
        <w:t>9、承诺函：提供具有履行合同所必需的设备和专业技术能力的承诺函；</w:t>
      </w:r>
    </w:p>
    <w:p>
      <w:pPr>
        <w:pStyle w:val="null3"/>
      </w:pPr>
      <w:r>
        <w:rPr/>
        <w:t>10、供应商信誉要求：“信用中国”网站（www.creditchina.gov.cn）和“中国政府采购网”（www.ccgp.gov.cn）为供应商信用信息查询渠道，如果供应商被查实在投标截止时间前已列入失信被执行人、重大税收违法案件当事人名单、政府采购严重违法失信行为记录名单中被财政部门禁止参加政府采购活动；（提供查询结果网页截图并加盖供应商公章）；</w:t>
      </w:r>
    </w:p>
    <w:p>
      <w:pPr>
        <w:pStyle w:val="null3"/>
      </w:pPr>
      <w:r>
        <w:rPr/>
        <w:t>11、控股关系：单位负责人为同一人或者存在直接控股、管理关系的不同供应商，不得参加同一合同项下的政府采购活动。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铜川市妇幼保健院</w:t>
      </w:r>
    </w:p>
    <w:p>
      <w:pPr>
        <w:pStyle w:val="null3"/>
      </w:pPr>
      <w:r>
        <w:rPr/>
        <w:t xml:space="preserve"> 地址： </w:t>
      </w:r>
      <w:r>
        <w:rPr/>
        <w:t>铜川市北关东街19号</w:t>
      </w:r>
    </w:p>
    <w:p>
      <w:pPr>
        <w:pStyle w:val="null3"/>
      </w:pPr>
      <w:r>
        <w:rPr/>
        <w:t xml:space="preserve"> 邮编： </w:t>
      </w:r>
      <w:r>
        <w:rPr/>
        <w:t>727000</w:t>
      </w:r>
    </w:p>
    <w:p>
      <w:pPr>
        <w:pStyle w:val="null3"/>
      </w:pPr>
      <w:r>
        <w:rPr/>
        <w:t xml:space="preserve"> 联系人： </w:t>
      </w:r>
      <w:r>
        <w:rPr/>
        <w:t>铜川市妇幼保健院经办</w:t>
      </w:r>
    </w:p>
    <w:p>
      <w:pPr>
        <w:pStyle w:val="null3"/>
      </w:pPr>
      <w:r>
        <w:rPr/>
        <w:t xml:space="preserve"> 联系电话： </w:t>
      </w:r>
      <w:r>
        <w:rPr/>
        <w:t>18992988188</w:t>
      </w:r>
    </w:p>
    <w:p>
      <w:pPr>
        <w:pStyle w:val="null3"/>
        <w:outlineLvl w:val="3"/>
      </w:pPr>
      <w:r>
        <w:rPr>
          <w:sz w:val="24"/>
          <w:b/>
        </w:rPr>
        <w:t>代理机构：</w:t>
      </w:r>
      <w:r>
        <w:rPr>
          <w:sz w:val="24"/>
          <w:b/>
        </w:rPr>
        <w:t>陕西公立工程项目管理咨询有限公司</w:t>
      </w:r>
    </w:p>
    <w:p>
      <w:pPr>
        <w:pStyle w:val="null3"/>
      </w:pPr>
      <w:r>
        <w:rPr/>
        <w:t xml:space="preserve"> 地址： </w:t>
      </w:r>
      <w:r>
        <w:rPr/>
        <w:t>铜川市七一路工行313室</w:t>
      </w:r>
    </w:p>
    <w:p>
      <w:pPr>
        <w:pStyle w:val="null3"/>
      </w:pPr>
      <w:r>
        <w:rPr/>
        <w:t xml:space="preserve"> 邮编： </w:t>
      </w:r>
      <w:r>
        <w:rPr/>
        <w:t>501280882@qq.com</w:t>
      </w:r>
    </w:p>
    <w:p>
      <w:pPr>
        <w:pStyle w:val="null3"/>
      </w:pPr>
      <w:r>
        <w:rPr/>
        <w:t xml:space="preserve"> 联系人： </w:t>
      </w:r>
      <w:r>
        <w:rPr/>
        <w:t>傅先生</w:t>
      </w:r>
    </w:p>
    <w:p>
      <w:pPr>
        <w:pStyle w:val="null3"/>
      </w:pPr>
      <w:r>
        <w:rPr/>
        <w:t xml:space="preserve"> 联系电话： </w:t>
      </w:r>
      <w:r>
        <w:rPr/>
        <w:t>0919-2182986</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采购包1：814,600.00元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铜川市妇幼保健院</w:t>
      </w:r>
      <w:r>
        <w:rPr/>
        <w:t>和</w:t>
      </w:r>
      <w:r>
        <w:rPr/>
        <w:t>陕西公立工程项目管理咨询有限公司</w:t>
      </w:r>
      <w:r>
        <w:rPr/>
        <w:t>享有。对磋商文件中供应商参加本次政府采购活动应当具备的条件，磋商项目技术、服务、商务及其他要求，评审细则及标准由</w:t>
      </w:r>
      <w:r>
        <w:rPr/>
        <w:t>铜川市妇幼保健院</w:t>
      </w:r>
      <w:r>
        <w:rPr/>
        <w:t>负责解释。除上述磋商文件内容，其他内容由</w:t>
      </w:r>
      <w:r>
        <w:rPr/>
        <w:t>陕西公立工程项目管理咨询有限公司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陕西公立工程项目管理咨询有限公司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合同约定的验收标准和法律规定的验收标准。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陕西公立工程项目管理咨询有限公司</w:t>
      </w:r>
      <w:r>
        <w:rPr/>
        <w:t xml:space="preserve"> 负责答复；供应商对采购过程的询问、质疑由</w:t>
      </w:r>
      <w:r>
        <w:rPr/>
        <w:t>陕西公立工程项目管理咨询有限公司</w:t>
      </w:r>
      <w:r>
        <w:rPr/>
        <w:t xml:space="preserve"> 负责答复；供应商对采购结果的询问、质疑由 </w:t>
      </w:r>
      <w:r>
        <w:rPr/>
        <w:t>陕西公立工程项目管理咨询有限公司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联系人：傅先生</w:t>
      </w:r>
    </w:p>
    <w:p>
      <w:pPr>
        <w:pStyle w:val="null3"/>
      </w:pPr>
      <w:r>
        <w:rPr/>
        <w:t>联系电话：13629191282</w:t>
      </w:r>
    </w:p>
    <w:p>
      <w:pPr>
        <w:pStyle w:val="null3"/>
      </w:pPr>
      <w:r>
        <w:rPr/>
        <w:t>地址：铜川市七一路工行三楼313室</w:t>
      </w:r>
    </w:p>
    <w:p>
      <w:pPr>
        <w:pStyle w:val="null3"/>
      </w:pPr>
      <w:r>
        <w:rPr/>
        <w:t>邮编：501280882@qq.com</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婴幼儿辅食营养包。 适宜人群：6-36月龄婴幼儿。选用非转基因的食品原料。 主要功能或目标：脱贫地区儿童营养改善项目是为脱贫地区6-24月龄婴幼儿补充辅食营养补充品，降低脱贫地区婴幼儿贫血率和生长迟缓率，持续改善营养和健康状况，提高家长科学喂养知识水 平，保障儿童健康成长。</w:t>
      </w:r>
    </w:p>
    <w:p>
      <w:pPr>
        <w:pStyle w:val="null3"/>
        <w:outlineLvl w:val="2"/>
      </w:pPr>
      <w:r>
        <w:rPr>
          <w:sz w:val="28"/>
          <w:b/>
        </w:rPr>
        <w:t>3.2采购内容</w:t>
      </w:r>
    </w:p>
    <w:p>
      <w:pPr>
        <w:pStyle w:val="null3"/>
      </w:pPr>
      <w:r>
        <w:rPr/>
        <w:t>采购包1：</w:t>
      </w:r>
    </w:p>
    <w:p>
      <w:pPr>
        <w:pStyle w:val="null3"/>
      </w:pPr>
      <w:r>
        <w:rPr/>
        <w:t>采购包预算金额（元）: 814,600.00</w:t>
      </w:r>
    </w:p>
    <w:p>
      <w:pPr>
        <w:pStyle w:val="null3"/>
      </w:pPr>
      <w:r>
        <w:rPr/>
        <w:t>采购包最高限价（元）: 814,600.00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814600</w:t>
            </w:r>
          </w:p>
        </w:tc>
        <w:tc>
          <w:tcPr>
            <w:tcW w:type="dxa" w:w="831"/>
          </w:tcPr>
          <w:p>
            <w:pPr>
              <w:pStyle w:val="null3"/>
              <w:jc w:val="right"/>
            </w:pPr>
            <w:r>
              <w:rPr/>
              <w:t>1,770,870.00</w:t>
            </w:r>
          </w:p>
        </w:tc>
        <w:tc>
          <w:tcPr>
            <w:tcW w:type="dxa" w:w="831"/>
          </w:tcPr>
          <w:p>
            <w:pPr>
              <w:pStyle w:val="null3"/>
              <w:jc w:val="right"/>
            </w:pPr>
            <w:r>
              <w:rPr/>
              <w:t>814,600.00</w:t>
            </w:r>
          </w:p>
        </w:tc>
        <w:tc>
          <w:tcPr>
            <w:tcW w:type="dxa" w:w="831"/>
          </w:tcPr>
          <w:p>
            <w:pPr>
              <w:pStyle w:val="null3"/>
            </w:pPr>
            <w:r>
              <w:rPr/>
              <w:t>袋</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标的名称：814600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color w:val="000000"/>
              </w:rPr>
              <w:t>一、项目名称</w:t>
            </w:r>
          </w:p>
          <w:p>
            <w:pPr>
              <w:pStyle w:val="null3"/>
            </w:pPr>
            <w:r>
              <w:rPr>
                <w:rFonts w:ascii="宋体" w:hAnsi="宋体" w:cs="宋体" w:eastAsia="宋体"/>
                <w:sz w:val="24"/>
                <w:color w:val="000000"/>
              </w:rPr>
              <w:t>铜川市脱贫地区儿童营养改善项目</w:t>
            </w:r>
          </w:p>
          <w:p>
            <w:pPr>
              <w:pStyle w:val="null3"/>
            </w:pPr>
            <w:r>
              <w:rPr>
                <w:rFonts w:ascii="宋体" w:hAnsi="宋体" w:cs="宋体" w:eastAsia="宋体"/>
                <w:sz w:val="24"/>
                <w:color w:val="000000"/>
              </w:rPr>
              <w:t>二、项目预算</w:t>
            </w:r>
          </w:p>
          <w:p>
            <w:pPr>
              <w:pStyle w:val="null3"/>
            </w:pPr>
            <w:r>
              <w:rPr>
                <w:rFonts w:ascii="宋体" w:hAnsi="宋体" w:cs="宋体" w:eastAsia="宋体"/>
                <w:sz w:val="24"/>
                <w:color w:val="000000"/>
              </w:rPr>
              <w:t>预算金额：</w:t>
            </w:r>
            <w:r>
              <w:rPr>
                <w:rFonts w:ascii="segoe ui symbol" w:hAnsi="segoe ui symbol" w:cs="segoe ui symbol" w:eastAsia="segoe ui symbol"/>
                <w:sz w:val="24"/>
                <w:color w:val="000000"/>
              </w:rPr>
              <w:t>814600.00</w:t>
            </w:r>
            <w:r>
              <w:rPr>
                <w:rFonts w:ascii="宋体" w:hAnsi="宋体" w:cs="宋体" w:eastAsia="宋体"/>
                <w:sz w:val="24"/>
                <w:color w:val="000000"/>
              </w:rPr>
              <w:t>元</w:t>
            </w:r>
          </w:p>
          <w:p>
            <w:pPr>
              <w:pStyle w:val="null3"/>
            </w:pPr>
            <w:r>
              <w:rPr>
                <w:rFonts w:ascii="宋体" w:hAnsi="宋体" w:cs="宋体" w:eastAsia="宋体"/>
                <w:sz w:val="24"/>
                <w:color w:val="000000"/>
              </w:rPr>
              <w:t>三、</w:t>
            </w:r>
            <w:r>
              <w:rPr>
                <w:rFonts w:ascii="宋体" w:hAnsi="宋体" w:cs="宋体" w:eastAsia="宋体"/>
                <w:sz w:val="24"/>
                <w:color w:val="000000"/>
              </w:rPr>
              <w:t>招标内容</w:t>
            </w:r>
            <w:r>
              <w:rPr>
                <w:rFonts w:ascii="宋体" w:hAnsi="宋体" w:cs="宋体" w:eastAsia="宋体"/>
                <w:sz w:val="24"/>
                <w:color w:val="000000"/>
              </w:rPr>
              <w:t>:</w:t>
            </w:r>
            <w:r>
              <w:rPr>
                <w:rFonts w:ascii="宋体" w:hAnsi="宋体" w:cs="宋体" w:eastAsia="宋体"/>
                <w:sz w:val="24"/>
                <w:color w:val="000000"/>
              </w:rPr>
              <w:t>营养包</w:t>
            </w:r>
          </w:p>
          <w:p>
            <w:pPr>
              <w:pStyle w:val="null3"/>
            </w:pPr>
            <w:r>
              <w:rPr>
                <w:rFonts w:ascii="宋体" w:hAnsi="宋体" w:cs="宋体" w:eastAsia="宋体"/>
                <w:sz w:val="24"/>
                <w:color w:val="000000"/>
              </w:rPr>
              <w:t>四、</w:t>
            </w:r>
            <w:r>
              <w:rPr>
                <w:rFonts w:ascii="宋体" w:hAnsi="宋体" w:cs="宋体" w:eastAsia="宋体"/>
                <w:sz w:val="24"/>
                <w:color w:val="000000"/>
              </w:rPr>
              <w:t>交货期限：</w:t>
            </w:r>
            <w:r>
              <w:rPr/>
              <w:t xml:space="preserve"> </w:t>
            </w:r>
            <w:r>
              <w:rPr>
                <w:rFonts w:ascii="宋体" w:hAnsi="宋体" w:cs="宋体" w:eastAsia="宋体"/>
                <w:sz w:val="24"/>
                <w:color w:val="000000"/>
              </w:rPr>
              <w:t>接到采购方通知之日起</w:t>
            </w:r>
            <w:r>
              <w:rPr>
                <w:rFonts w:ascii="&quot;segoe ui symbol&quot;" w:hAnsi="&quot;segoe ui symbol&quot;" w:cs="&quot;segoe ui symbol&quot;" w:eastAsia="&quot;segoe ui symbol&quot;"/>
                <w:sz w:val="24"/>
                <w:color w:val="000000"/>
              </w:rPr>
              <w:t>10</w:t>
            </w:r>
            <w:r>
              <w:rPr>
                <w:rFonts w:ascii="宋体" w:hAnsi="宋体" w:cs="宋体" w:eastAsia="宋体"/>
                <w:sz w:val="24"/>
                <w:color w:val="000000"/>
              </w:rPr>
              <w:t>个日历日内供货，</w:t>
            </w:r>
            <w:r>
              <w:rPr>
                <w:rFonts w:ascii="宋体" w:hAnsi="宋体" w:cs="宋体" w:eastAsia="宋体"/>
                <w:sz w:val="24"/>
                <w:color w:val="000000"/>
              </w:rPr>
              <w:t>按采购方要求分批完成供货任务。</w:t>
            </w:r>
            <w:r>
              <w:rPr/>
              <w:t xml:space="preserve"> </w:t>
            </w:r>
          </w:p>
          <w:p>
            <w:pPr>
              <w:pStyle w:val="null3"/>
            </w:pPr>
            <w:r>
              <w:rPr>
                <w:rFonts w:ascii="宋体" w:hAnsi="宋体" w:cs="宋体" w:eastAsia="宋体"/>
                <w:sz w:val="24"/>
                <w:color w:val="000000"/>
              </w:rPr>
              <w:t>五、</w:t>
            </w:r>
            <w:r>
              <w:rPr>
                <w:rFonts w:ascii="宋体" w:hAnsi="宋体" w:cs="宋体" w:eastAsia="宋体"/>
                <w:sz w:val="24"/>
                <w:color w:val="000000"/>
              </w:rPr>
              <w:t>其他</w:t>
            </w:r>
          </w:p>
          <w:p>
            <w:pPr>
              <w:pStyle w:val="null3"/>
            </w:pPr>
            <w:r>
              <w:rPr>
                <w:rFonts w:ascii="宋体" w:hAnsi="宋体" w:cs="宋体" w:eastAsia="宋体"/>
                <w:sz w:val="24"/>
                <w:color w:val="000000"/>
              </w:rPr>
              <w:t>1.成交供应商应在接到中标通知书后7日内到省级主管部门办理产品的企业标准备案手续。</w:t>
            </w:r>
          </w:p>
          <w:p>
            <w:pPr>
              <w:pStyle w:val="null3"/>
            </w:pPr>
            <w:r>
              <w:rPr>
                <w:rFonts w:ascii="宋体" w:hAnsi="宋体" w:cs="宋体" w:eastAsia="宋体"/>
                <w:sz w:val="24"/>
                <w:color w:val="000000"/>
              </w:rPr>
              <w:t>六、</w:t>
            </w:r>
            <w:r>
              <w:rPr>
                <w:rFonts w:ascii="宋体" w:hAnsi="宋体" w:cs="宋体" w:eastAsia="宋体"/>
                <w:sz w:val="24"/>
                <w:color w:val="000000"/>
              </w:rPr>
              <w:t>技术要求及标准</w:t>
            </w:r>
          </w:p>
          <w:p>
            <w:pPr>
              <w:pStyle w:val="null3"/>
            </w:pPr>
            <w:r>
              <w:rPr>
                <w:rFonts w:ascii="宋体" w:hAnsi="宋体" w:cs="宋体" w:eastAsia="宋体"/>
                <w:sz w:val="24"/>
                <w:color w:val="000000"/>
              </w:rPr>
              <w:t>七、</w:t>
            </w:r>
            <w:r>
              <w:rPr>
                <w:rFonts w:ascii="宋体" w:hAnsi="宋体" w:cs="宋体" w:eastAsia="宋体"/>
                <w:sz w:val="24"/>
                <w:color w:val="000000"/>
              </w:rPr>
              <w:t>项目营养包质量应当符合《食品安全国家标准</w:t>
            </w:r>
            <w:r>
              <w:rPr>
                <w:rFonts w:ascii="宋体" w:hAnsi="宋体" w:cs="宋体" w:eastAsia="宋体"/>
                <w:sz w:val="24"/>
                <w:color w:val="000000"/>
              </w:rPr>
              <w:t>辅食营养补充品》</w:t>
            </w:r>
            <w:r>
              <w:rPr>
                <w:rFonts w:ascii="宋体" w:hAnsi="宋体" w:cs="宋体" w:eastAsia="宋体"/>
                <w:sz w:val="24"/>
                <w:color w:val="000000"/>
              </w:rPr>
              <w:t>(GB 22570-2014)的要求。</w:t>
            </w:r>
          </w:p>
          <w:p>
            <w:pPr>
              <w:pStyle w:val="null3"/>
            </w:pPr>
            <w:r>
              <w:rPr>
                <w:rFonts w:ascii="宋体" w:hAnsi="宋体" w:cs="宋体" w:eastAsia="宋体"/>
                <w:sz w:val="24"/>
                <w:color w:val="000000"/>
              </w:rPr>
              <w:t xml:space="preserve"> </w:t>
            </w:r>
            <w:r>
              <w:rPr>
                <w:rFonts w:ascii="宋体" w:hAnsi="宋体" w:cs="宋体" w:eastAsia="宋体"/>
                <w:sz w:val="24"/>
                <w:color w:val="000000"/>
              </w:rPr>
              <w:t>1．项目营养包质量规格书</w:t>
            </w:r>
          </w:p>
          <w:p>
            <w:pPr>
              <w:pStyle w:val="null3"/>
            </w:pPr>
            <w:r>
              <w:rPr>
                <w:rFonts w:ascii="宋体" w:hAnsi="宋体" w:cs="宋体" w:eastAsia="宋体"/>
                <w:sz w:val="24"/>
                <w:color w:val="000000"/>
              </w:rPr>
              <w:t>（</w:t>
            </w:r>
            <w:r>
              <w:rPr>
                <w:rFonts w:ascii="宋体" w:hAnsi="宋体" w:cs="宋体" w:eastAsia="宋体"/>
                <w:sz w:val="24"/>
                <w:color w:val="000000"/>
              </w:rPr>
              <w:t>1）产品：婴幼儿辅食营养包。</w:t>
            </w:r>
          </w:p>
          <w:p>
            <w:pPr>
              <w:pStyle w:val="null3"/>
            </w:pPr>
            <w:r>
              <w:rPr>
                <w:rFonts w:ascii="宋体" w:hAnsi="宋体" w:cs="宋体" w:eastAsia="宋体"/>
                <w:sz w:val="24"/>
                <w:color w:val="000000"/>
              </w:rPr>
              <w:t>（</w:t>
            </w:r>
            <w:r>
              <w:rPr>
                <w:rFonts w:ascii="宋体" w:hAnsi="宋体" w:cs="宋体" w:eastAsia="宋体"/>
                <w:sz w:val="24"/>
                <w:color w:val="000000"/>
              </w:rPr>
              <w:t>2）包装规格：12g/袋×30袋/盒。</w:t>
            </w:r>
          </w:p>
          <w:p>
            <w:pPr>
              <w:pStyle w:val="null3"/>
            </w:pPr>
            <w:r>
              <w:rPr>
                <w:rFonts w:ascii="宋体" w:hAnsi="宋体" w:cs="宋体" w:eastAsia="宋体"/>
                <w:sz w:val="24"/>
                <w:color w:val="000000"/>
              </w:rPr>
              <w:t>（</w:t>
            </w:r>
            <w:r>
              <w:rPr>
                <w:rFonts w:ascii="宋体" w:hAnsi="宋体" w:cs="宋体" w:eastAsia="宋体"/>
                <w:sz w:val="24"/>
                <w:color w:val="000000"/>
              </w:rPr>
              <w:t>3）适宜人群：6-36月龄婴幼儿。</w:t>
            </w:r>
          </w:p>
          <w:p>
            <w:pPr>
              <w:pStyle w:val="null3"/>
            </w:pPr>
            <w:r>
              <w:rPr>
                <w:rFonts w:ascii="宋体" w:hAnsi="宋体" w:cs="宋体" w:eastAsia="宋体"/>
                <w:sz w:val="24"/>
                <w:color w:val="000000"/>
              </w:rPr>
              <w:t>（</w:t>
            </w:r>
            <w:r>
              <w:rPr>
                <w:rFonts w:ascii="宋体" w:hAnsi="宋体" w:cs="宋体" w:eastAsia="宋体"/>
                <w:sz w:val="24"/>
                <w:color w:val="000000"/>
              </w:rPr>
              <w:t>4）保质期：至少18个月。</w:t>
            </w:r>
          </w:p>
          <w:p>
            <w:pPr>
              <w:pStyle w:val="null3"/>
            </w:pPr>
            <w:r>
              <w:rPr>
                <w:rFonts w:ascii="宋体" w:hAnsi="宋体" w:cs="宋体" w:eastAsia="宋体"/>
                <w:sz w:val="24"/>
                <w:color w:val="000000"/>
              </w:rPr>
              <w:t>（</w:t>
            </w:r>
            <w:r>
              <w:rPr>
                <w:rFonts w:ascii="宋体" w:hAnsi="宋体" w:cs="宋体" w:eastAsia="宋体"/>
                <w:sz w:val="24"/>
                <w:color w:val="000000"/>
              </w:rPr>
              <w:t>5）感官要求：淡黄色粉状或微粒状，松散无结块，具有本品特有的滋味和气味</w:t>
            </w:r>
            <w:r>
              <w:rPr>
                <w:rFonts w:ascii="宋体" w:hAnsi="宋体" w:cs="宋体" w:eastAsia="宋体"/>
                <w:sz w:val="24"/>
                <w:color w:val="000000"/>
              </w:rPr>
              <w:t>，</w:t>
            </w:r>
            <w:r>
              <w:rPr>
                <w:rFonts w:ascii="宋体" w:hAnsi="宋体" w:cs="宋体" w:eastAsia="宋体"/>
                <w:sz w:val="24"/>
                <w:color w:val="000000"/>
              </w:rPr>
              <w:t>无异味和不</w:t>
            </w:r>
            <w:r>
              <w:rPr>
                <w:rFonts w:ascii="宋体" w:hAnsi="宋体" w:cs="宋体" w:eastAsia="宋体"/>
                <w:sz w:val="24"/>
                <w:color w:val="000000"/>
              </w:rPr>
              <w:t>良气味，不应有正常视力可见的外来异物，易冲调成均匀稀薄糊状。</w:t>
            </w:r>
          </w:p>
          <w:p>
            <w:pPr>
              <w:pStyle w:val="null3"/>
              <w:spacing w:after="150"/>
              <w:jc w:val="left"/>
            </w:pP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营养成分：</w:t>
            </w:r>
          </w:p>
          <w:tbl>
            <w:tblPr>
              <w:tblBorders>
                <w:top w:val="none" w:color="000000" w:sz="4"/>
                <w:left w:val="none" w:color="000000" w:sz="4"/>
                <w:bottom w:val="none" w:color="000000" w:sz="4"/>
                <w:right w:val="none" w:color="000000" w:sz="4"/>
                <w:insideH w:val="none"/>
                <w:insideV w:val="none"/>
              </w:tblBorders>
            </w:tblPr>
            <w:tblGrid>
              <w:gridCol w:w="755"/>
              <w:gridCol w:w="1125"/>
              <w:gridCol w:w="672"/>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营养素</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标识每日份含量（</w:t>
                  </w:r>
                  <w:r>
                    <w:rPr>
                      <w:rFonts w:ascii="宋体" w:hAnsi="宋体" w:cs="宋体" w:eastAsia="宋体"/>
                      <w:sz w:val="24"/>
                      <w:b/>
                      <w:color w:val="000000"/>
                    </w:rPr>
                    <w:t>12g/袋）</w:t>
                  </w:r>
                </w:p>
              </w:tc>
              <w:tc>
                <w:tcPr>
                  <w:tcW w:type="dxa" w:w="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含量范围要求</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蛋白质（</w:t>
                  </w:r>
                  <w:r>
                    <w:rPr>
                      <w:rFonts w:ascii="宋体" w:hAnsi="宋体" w:cs="宋体" w:eastAsia="宋体"/>
                      <w:sz w:val="24"/>
                      <w:color w:val="000000"/>
                    </w:rPr>
                    <w:t>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 3</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钙（</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180-240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6.0-9.0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锌（</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2.4-6.0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A(μg)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200-360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D(μg)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4.0-9.0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 0.4</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2</w:t>
                  </w:r>
                  <w:r>
                    <w:rPr>
                      <w:rFonts w:ascii="宋体" w:hAnsi="宋体" w:cs="宋体" w:eastAsia="宋体"/>
                      <w:sz w:val="24"/>
                      <w:color w:val="000000"/>
                    </w:rPr>
                    <w:t>(mg)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 0.4</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叶酸（</w:t>
                  </w:r>
                  <w:r>
                    <w:rPr>
                      <w:rFonts w:ascii="宋体" w:hAnsi="宋体" w:cs="宋体" w:eastAsia="宋体"/>
                      <w:sz w:val="24"/>
                      <w:color w:val="000000"/>
                    </w:rPr>
                    <w:t>μg)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60-150</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12</w:t>
                  </w:r>
                  <w:r>
                    <w:rPr>
                      <w:rFonts w:ascii="宋体" w:hAnsi="宋体" w:cs="宋体" w:eastAsia="宋体"/>
                      <w:sz w:val="24"/>
                      <w:color w:val="000000"/>
                    </w:rPr>
                    <w:t>(μg)</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 0.4</w:t>
                  </w:r>
                </w:p>
              </w:tc>
            </w:tr>
          </w:tbl>
          <w:p>
            <w:pPr>
              <w:pStyle w:val="null3"/>
              <w:spacing w:after="150"/>
              <w:jc w:val="left"/>
            </w:pPr>
            <w:r>
              <w:rPr>
                <w:rFonts w:ascii="宋体" w:hAnsi="宋体" w:cs="宋体" w:eastAsia="宋体"/>
                <w:sz w:val="24"/>
                <w:color w:val="000000"/>
              </w:rPr>
              <w:t>（</w:t>
            </w:r>
            <w:r>
              <w:rPr>
                <w:rFonts w:ascii="宋体" w:hAnsi="宋体" w:cs="宋体" w:eastAsia="宋体"/>
                <w:sz w:val="24"/>
                <w:color w:val="000000"/>
              </w:rPr>
              <w:t>7</w:t>
            </w:r>
            <w:r>
              <w:rPr>
                <w:rFonts w:ascii="宋体" w:hAnsi="宋体" w:cs="宋体" w:eastAsia="宋体"/>
                <w:sz w:val="24"/>
                <w:color w:val="000000"/>
              </w:rPr>
              <w:t>）其他指标要求：</w:t>
            </w:r>
          </w:p>
          <w:tbl>
            <w:tblPr>
              <w:tblBorders>
                <w:top w:val="none" w:color="000000" w:sz="4"/>
                <w:left w:val="none" w:color="000000" w:sz="4"/>
                <w:bottom w:val="none" w:color="000000" w:sz="4"/>
                <w:right w:val="none" w:color="000000" w:sz="4"/>
                <w:insideH w:val="none"/>
                <w:insideV w:val="none"/>
              </w:tblBorders>
            </w:tblPr>
            <w:tblGrid>
              <w:gridCol w:w="354"/>
              <w:gridCol w:w="191"/>
              <w:gridCol w:w="183"/>
              <w:gridCol w:w="150"/>
              <w:gridCol w:w="150"/>
              <w:gridCol w:w="399"/>
              <w:gridCol w:w="1126"/>
            </w:tblGrid>
            <w:tr>
              <w:tc>
                <w:tcPr>
                  <w:tcW w:type="dxa" w:w="2553"/>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污染物限量</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r>
                    <w:rPr>
                      <w:rFonts w:ascii="宋体" w:hAnsi="宋体" w:cs="宋体" w:eastAsia="宋体"/>
                      <w:sz w:val="24"/>
                      <w:color w:val="000000"/>
                    </w:rPr>
                    <w:t xml:space="preserve">  目</w:t>
                  </w:r>
                </w:p>
              </w:tc>
              <w:tc>
                <w:tcPr>
                  <w:tcW w:type="dxa" w:w="5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指</w:t>
                  </w:r>
                  <w:r>
                    <w:rPr>
                      <w:rFonts w:ascii="宋体" w:hAnsi="宋体" w:cs="宋体" w:eastAsia="宋体"/>
                      <w:sz w:val="24"/>
                      <w:color w:val="000000"/>
                    </w:rPr>
                    <w:t xml:space="preserve">  标</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说</w:t>
                  </w:r>
                  <w:r>
                    <w:rPr>
                      <w:rFonts w:ascii="宋体" w:hAnsi="宋体" w:cs="宋体" w:eastAsia="宋体"/>
                      <w:sz w:val="24"/>
                      <w:color w:val="000000"/>
                    </w:rPr>
                    <w:t xml:space="preserve">   </w:t>
                  </w:r>
                  <w:r>
                    <w:rPr>
                      <w:rFonts w:ascii="宋体" w:hAnsi="宋体" w:cs="宋体" w:eastAsia="宋体"/>
                      <w:sz w:val="24"/>
                      <w:color w:val="000000"/>
                    </w:rPr>
                    <w:t>明</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铅</w:t>
                  </w:r>
                  <w:r>
                    <w:rPr>
                      <w:rFonts w:ascii="宋体" w:hAnsi="宋体" w:cs="宋体" w:eastAsia="宋体"/>
                      <w:sz w:val="24"/>
                      <w:color w:val="000000"/>
                    </w:rPr>
                    <w:t>/(mg/kg)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w:t>
                  </w:r>
                </w:p>
              </w:tc>
              <w:tc>
                <w:tcPr>
                  <w:tcW w:type="dxa" w:w="1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总砷</w:t>
                  </w:r>
                  <w:r>
                    <w:rPr>
                      <w:rFonts w:ascii="宋体" w:hAnsi="宋体" w:cs="宋体" w:eastAsia="宋体"/>
                      <w:sz w:val="24"/>
                      <w:color w:val="000000"/>
                    </w:rPr>
                    <w:t>/(mg/kg)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硝酸盐（以</w:t>
                  </w:r>
                  <w:r>
                    <w:rPr>
                      <w:rFonts w:ascii="宋体" w:hAnsi="宋体" w:cs="宋体" w:eastAsia="宋体"/>
                      <w:sz w:val="24"/>
                      <w:color w:val="000000"/>
                    </w:rPr>
                    <w:t>NaNO</w:t>
                  </w:r>
                  <w:r>
                    <w:rPr>
                      <w:rFonts w:ascii="宋体" w:hAnsi="宋体" w:cs="宋体" w:eastAsia="宋体"/>
                      <w:sz w:val="24"/>
                      <w:color w:val="000000"/>
                      <w:vertAlign w:val="subscript"/>
                    </w:rPr>
                    <w:t>3</w:t>
                  </w:r>
                  <w:r>
                    <w:rPr>
                      <w:rFonts w:ascii="宋体" w:hAnsi="宋体" w:cs="宋体" w:eastAsia="宋体"/>
                      <w:sz w:val="24"/>
                      <w:color w:val="000000"/>
                    </w:rPr>
                    <w:t>计）</w:t>
                  </w:r>
                  <w:r>
                    <w:rPr>
                      <w:rFonts w:ascii="宋体" w:hAnsi="宋体" w:cs="宋体" w:eastAsia="宋体"/>
                      <w:sz w:val="24"/>
                      <w:color w:val="000000"/>
                    </w:rPr>
                    <w:t>ª/(mg/kg)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vertAlign w:val="superscript"/>
                    </w:rPr>
                    <w:t>a</w:t>
                  </w:r>
                  <w:r>
                    <w:rPr>
                      <w:rFonts w:ascii="宋体" w:hAnsi="宋体" w:cs="宋体" w:eastAsia="宋体"/>
                      <w:sz w:val="24"/>
                      <w:color w:val="000000"/>
                    </w:rPr>
                    <w:t>不适用于添加蔬菜和水果的产品。</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真菌毒素限量</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r>
                    <w:rPr>
                      <w:rFonts w:ascii="宋体" w:hAnsi="宋体" w:cs="宋体" w:eastAsia="宋体"/>
                      <w:sz w:val="24"/>
                      <w:color w:val="000000"/>
                    </w:rPr>
                    <w:t xml:space="preserve">  目</w:t>
                  </w:r>
                </w:p>
              </w:tc>
              <w:tc>
                <w:tcPr>
                  <w:tcW w:type="dxa" w:w="5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指</w:t>
                  </w:r>
                  <w:r>
                    <w:rPr>
                      <w:rFonts w:ascii="宋体" w:hAnsi="宋体" w:cs="宋体" w:eastAsia="宋体"/>
                      <w:sz w:val="24"/>
                      <w:color w:val="000000"/>
                    </w:rPr>
                    <w:t xml:space="preserve">  标</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说</w:t>
                  </w:r>
                  <w:r>
                    <w:rPr>
                      <w:rFonts w:ascii="宋体" w:hAnsi="宋体" w:cs="宋体" w:eastAsia="宋体"/>
                      <w:sz w:val="24"/>
                      <w:color w:val="000000"/>
                    </w:rPr>
                    <w:t xml:space="preserve">   </w:t>
                  </w:r>
                  <w:r>
                    <w:rPr>
                      <w:rFonts w:ascii="宋体" w:hAnsi="宋体" w:cs="宋体" w:eastAsia="宋体"/>
                      <w:sz w:val="24"/>
                      <w:color w:val="000000"/>
                    </w:rPr>
                    <w:t>明</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黄曲霉毒素</w:t>
                  </w:r>
                  <w:r>
                    <w:rPr>
                      <w:rFonts w:ascii="宋体" w:hAnsi="宋体" w:cs="宋体" w:eastAsia="宋体"/>
                      <w:sz w:val="24"/>
                      <w:color w:val="000000"/>
                    </w:rPr>
                    <w:t>M</w:t>
                  </w:r>
                  <w:r>
                    <w:rPr>
                      <w:rFonts w:ascii="宋体" w:hAnsi="宋体" w:cs="宋体" w:eastAsia="宋体"/>
                      <w:sz w:val="24"/>
                      <w:color w:val="000000"/>
                      <w:vertAlign w:val="subscript"/>
                    </w:rPr>
                    <w:t>1</w:t>
                  </w:r>
                  <w:r>
                    <w:rPr>
                      <w:rFonts w:ascii="宋体" w:hAnsi="宋体" w:cs="宋体" w:eastAsia="宋体"/>
                      <w:sz w:val="24"/>
                      <w:color w:val="000000"/>
                      <w:vertAlign w:val="superscript"/>
                    </w:rPr>
                    <w:t xml:space="preserve">a </w:t>
                  </w:r>
                  <w:r>
                    <w:rPr>
                      <w:rFonts w:ascii="宋体" w:hAnsi="宋体" w:cs="宋体" w:eastAsia="宋体"/>
                      <w:sz w:val="24"/>
                      <w:color w:val="000000"/>
                    </w:rPr>
                    <w:t>(μg/kg)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w:t>
                  </w:r>
                </w:p>
              </w:tc>
              <w:tc>
                <w:tcPr>
                  <w:tcW w:type="dxa" w:w="1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vertAlign w:val="superscript"/>
                    </w:rPr>
                    <w:t xml:space="preserve">a </w:t>
                  </w:r>
                  <w:r>
                    <w:rPr>
                      <w:rFonts w:ascii="宋体" w:hAnsi="宋体" w:cs="宋体" w:eastAsia="宋体"/>
                      <w:sz w:val="24"/>
                      <w:color w:val="000000"/>
                    </w:rPr>
                    <w:t>黄曲霉毒素</w:t>
                  </w:r>
                  <w:r>
                    <w:rPr>
                      <w:rFonts w:ascii="宋体" w:hAnsi="宋体" w:cs="宋体" w:eastAsia="宋体"/>
                      <w:sz w:val="24"/>
                      <w:color w:val="000000"/>
                    </w:rPr>
                    <w:t>M</w:t>
                  </w:r>
                  <w:r>
                    <w:rPr>
                      <w:rFonts w:ascii="宋体" w:hAnsi="宋体" w:cs="宋体" w:eastAsia="宋体"/>
                      <w:sz w:val="24"/>
                      <w:color w:val="000000"/>
                      <w:vertAlign w:val="subscript"/>
                    </w:rPr>
                    <w:t>1</w:t>
                  </w:r>
                  <w:r>
                    <w:rPr>
                      <w:rFonts w:ascii="宋体" w:hAnsi="宋体" w:cs="宋体" w:eastAsia="宋体"/>
                      <w:sz w:val="24"/>
                      <w:color w:val="000000"/>
                    </w:rPr>
                    <w:t>只限于含乳类的产品。</w:t>
                  </w:r>
                </w:p>
                <w:p>
                  <w:pPr>
                    <w:pStyle w:val="null3"/>
                    <w:jc w:val="left"/>
                  </w:pPr>
                  <w:r>
                    <w:rPr>
                      <w:rFonts w:ascii="宋体" w:hAnsi="宋体" w:cs="宋体" w:eastAsia="宋体"/>
                      <w:sz w:val="24"/>
                      <w:color w:val="000000"/>
                      <w:vertAlign w:val="superscript"/>
                    </w:rPr>
                    <w:t>b</w:t>
                  </w:r>
                  <w:r>
                    <w:rPr>
                      <w:rFonts w:ascii="宋体" w:hAnsi="宋体" w:cs="宋体" w:eastAsia="宋体"/>
                      <w:sz w:val="24"/>
                      <w:color w:val="000000"/>
                    </w:rPr>
                    <w:t>黄曲霉毒素</w:t>
                  </w:r>
                  <w:r>
                    <w:rPr>
                      <w:rFonts w:ascii="宋体" w:hAnsi="宋体" w:cs="宋体" w:eastAsia="宋体"/>
                      <w:sz w:val="24"/>
                      <w:color w:val="000000"/>
                    </w:rPr>
                    <w:t>B</w:t>
                  </w:r>
                  <w:r>
                    <w:rPr>
                      <w:rFonts w:ascii="宋体" w:hAnsi="宋体" w:cs="宋体" w:eastAsia="宋体"/>
                      <w:sz w:val="24"/>
                      <w:color w:val="000000"/>
                      <w:vertAlign w:val="subscript"/>
                    </w:rPr>
                    <w:t>1</w:t>
                  </w:r>
                  <w:r>
                    <w:rPr>
                      <w:rFonts w:ascii="宋体" w:hAnsi="宋体" w:cs="宋体" w:eastAsia="宋体"/>
                      <w:sz w:val="24"/>
                      <w:color w:val="000000"/>
                    </w:rPr>
                    <w:t>只限于含谷类、坚果和豆类的产品。</w:t>
                  </w:r>
                </w:p>
              </w:tc>
            </w:tr>
            <w:tr>
              <w:tc>
                <w:tcPr>
                  <w:tcW w:type="dxa" w:w="8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黄曲霉毒素</w:t>
                  </w:r>
                  <w:r>
                    <w:rPr>
                      <w:rFonts w:ascii="宋体" w:hAnsi="宋体" w:cs="宋体" w:eastAsia="宋体"/>
                      <w:sz w:val="24"/>
                      <w:color w:val="000000"/>
                    </w:rPr>
                    <w:t>B</w:t>
                  </w:r>
                  <w:r>
                    <w:rPr>
                      <w:rFonts w:ascii="宋体" w:hAnsi="宋体" w:cs="宋体" w:eastAsia="宋体"/>
                      <w:sz w:val="24"/>
                      <w:color w:val="000000"/>
                      <w:vertAlign w:val="subscript"/>
                    </w:rPr>
                    <w:t>1</w:t>
                  </w:r>
                  <w:r>
                    <w:rPr>
                      <w:rFonts w:ascii="宋体" w:hAnsi="宋体" w:cs="宋体" w:eastAsia="宋体"/>
                      <w:sz w:val="24"/>
                      <w:color w:val="000000"/>
                      <w:vertAlign w:val="superscript"/>
                    </w:rPr>
                    <w:t xml:space="preserve">b </w:t>
                  </w:r>
                  <w:r>
                    <w:rPr>
                      <w:rFonts w:ascii="宋体" w:hAnsi="宋体" w:cs="宋体" w:eastAsia="宋体"/>
                      <w:sz w:val="24"/>
                      <w:color w:val="000000"/>
                    </w:rPr>
                    <w:t>(μg/kg)</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微生物限量</w:t>
                  </w:r>
                </w:p>
              </w:tc>
            </w:tr>
            <w:tr>
              <w:tc>
                <w:tcPr>
                  <w:tcW w:type="dxa" w:w="354"/>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r>
                    <w:rPr>
                      <w:rFonts w:ascii="宋体" w:hAnsi="宋体" w:cs="宋体" w:eastAsia="宋体"/>
                      <w:sz w:val="24"/>
                      <w:color w:val="000000"/>
                    </w:rPr>
                    <w:t xml:space="preserve"> 目</w:t>
                  </w:r>
                </w:p>
              </w:tc>
              <w:tc>
                <w:tcPr>
                  <w:tcW w:type="dxa" w:w="107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采样方案</w:t>
                  </w:r>
                  <w:r>
                    <w:rPr>
                      <w:rFonts w:ascii="宋体" w:hAnsi="宋体" w:cs="宋体" w:eastAsia="宋体"/>
                      <w:sz w:val="24"/>
                      <w:color w:val="000000"/>
                      <w:vertAlign w:val="superscript"/>
                    </w:rPr>
                    <w:t>a</w:t>
                  </w:r>
                  <w:r>
                    <w:rPr>
                      <w:rFonts w:ascii="宋体" w:hAnsi="宋体" w:cs="宋体" w:eastAsia="宋体"/>
                      <w:sz w:val="24"/>
                      <w:color w:val="000000"/>
                    </w:rPr>
                    <w:t>及限量</w:t>
                  </w:r>
                </w:p>
                <w:p>
                  <w:pPr>
                    <w:pStyle w:val="null3"/>
                    <w:jc w:val="center"/>
                  </w:pPr>
                  <w:r>
                    <w:rPr>
                      <w:rFonts w:ascii="宋体" w:hAnsi="宋体" w:cs="宋体" w:eastAsia="宋体"/>
                      <w:sz w:val="24"/>
                      <w:color w:val="000000"/>
                    </w:rPr>
                    <w:t>（若非指定，均以</w:t>
                  </w:r>
                  <w:r>
                    <w:rPr>
                      <w:rFonts w:ascii="宋体" w:hAnsi="宋体" w:cs="宋体" w:eastAsia="宋体"/>
                      <w:sz w:val="24"/>
                      <w:color w:val="000000"/>
                    </w:rPr>
                    <w:t>CFU/g</w:t>
                  </w:r>
                  <w:r>
                    <w:rPr>
                      <w:rFonts w:ascii="宋体" w:hAnsi="宋体" w:cs="宋体" w:eastAsia="宋体"/>
                      <w:sz w:val="24"/>
                      <w:color w:val="000000"/>
                    </w:rPr>
                    <w:t>表示）</w:t>
                  </w:r>
                </w:p>
                <w:p>
                  <w:pPr>
                    <w:pStyle w:val="null3"/>
                    <w:spacing w:before="630"/>
                    <w:jc w:val="center"/>
                  </w:pPr>
                  <w:r>
                    <w:rPr>
                      <w:rFonts w:ascii="宋体" w:hAnsi="宋体" w:cs="宋体" w:eastAsia="宋体"/>
                      <w:sz w:val="24"/>
                      <w:color w:val="000000"/>
                    </w:rPr>
                    <w:t>（若非指定，均以</w:t>
                  </w:r>
                  <w:r>
                    <w:rPr>
                      <w:rFonts w:ascii="宋体" w:hAnsi="宋体" w:cs="宋体" w:eastAsia="宋体"/>
                      <w:sz w:val="24"/>
                      <w:color w:val="000000"/>
                    </w:rPr>
                    <w:t>CFU/g表示）</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说</w:t>
                  </w:r>
                  <w:r>
                    <w:rPr>
                      <w:rFonts w:ascii="宋体" w:hAnsi="宋体" w:cs="宋体" w:eastAsia="宋体"/>
                      <w:sz w:val="24"/>
                      <w:color w:val="000000"/>
                    </w:rPr>
                    <w:t xml:space="preserve">  明</w:t>
                  </w:r>
                </w:p>
              </w:tc>
            </w:tr>
            <w:tr>
              <w:tc>
                <w:tcPr>
                  <w:tcW w:type="dxa" w:w="354"/>
                  <w:vMerge/>
                  <w:tcBorders>
                    <w:top w:val="none" w:color="000000" w:sz="4"/>
                    <w:left w:val="single" w:color="000000" w:sz="4"/>
                    <w:bottom w:val="single" w:color="000000" w:sz="4"/>
                    <w:right w:val="none" w:color="000000" w:sz="4"/>
                  </w:tcBorders>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n</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c</w:t>
                  </w:r>
                </w:p>
              </w:tc>
              <w:tc>
                <w:tcPr>
                  <w:tcW w:type="dxa" w:w="30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11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vertAlign w:val="superscript"/>
                    </w:rPr>
                    <w:t>a</w:t>
                  </w:r>
                  <w:r>
                    <w:rPr>
                      <w:rFonts w:ascii="宋体" w:hAnsi="宋体" w:cs="宋体" w:eastAsia="宋体"/>
                      <w:sz w:val="24"/>
                      <w:color w:val="000000"/>
                    </w:rPr>
                    <w:t>样品的分析及处理按</w:t>
                  </w:r>
                  <w:r>
                    <w:rPr>
                      <w:rFonts w:ascii="宋体" w:hAnsi="宋体" w:cs="宋体" w:eastAsia="宋体"/>
                      <w:sz w:val="24"/>
                      <w:color w:val="000000"/>
                    </w:rPr>
                    <w:t>GB 4789.1执行。</w:t>
                  </w:r>
                </w:p>
              </w:tc>
            </w:tr>
            <w:tr>
              <w:tc>
                <w:tcPr>
                  <w:tcW w:type="dxa" w:w="35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菌落总数</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10000</w:t>
                  </w:r>
                </w:p>
              </w:tc>
            </w:tr>
            <w:tr>
              <w:tc>
                <w:tcPr>
                  <w:tcW w:type="dxa" w:w="35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大肠菌群</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3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r>
            <w:tr>
              <w:tc>
                <w:tcPr>
                  <w:tcW w:type="dxa" w:w="35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沙门氏菌</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w:t>
                  </w:r>
                </w:p>
              </w:tc>
              <w:tc>
                <w:tcPr>
                  <w:tcW w:type="dxa" w:w="3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0/25g</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脲酶活性</w:t>
                  </w:r>
                </w:p>
              </w:tc>
            </w:tr>
            <w:tr>
              <w:tc>
                <w:tcPr>
                  <w:tcW w:type="dxa" w:w="878"/>
                  <w:gridSpan w:val="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w:t>
                  </w:r>
                  <w:r>
                    <w:rPr>
                      <w:rFonts w:ascii="宋体" w:hAnsi="宋体" w:cs="宋体" w:eastAsia="宋体"/>
                      <w:sz w:val="24"/>
                      <w:color w:val="000000"/>
                    </w:rPr>
                    <w:t xml:space="preserve">  目</w:t>
                  </w:r>
                </w:p>
              </w:tc>
              <w:tc>
                <w:tcPr>
                  <w:tcW w:type="dxa" w:w="5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指</w:t>
                  </w:r>
                  <w:r>
                    <w:rPr>
                      <w:rFonts w:ascii="宋体" w:hAnsi="宋体" w:cs="宋体" w:eastAsia="宋体"/>
                      <w:sz w:val="24"/>
                      <w:color w:val="000000"/>
                    </w:rPr>
                    <w:t xml:space="preserve">  标</w:t>
                  </w:r>
                </w:p>
              </w:tc>
              <w:tc>
                <w:tcPr>
                  <w:tcW w:type="dxa" w:w="1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说</w:t>
                  </w:r>
                  <w:r>
                    <w:rPr>
                      <w:rFonts w:ascii="宋体" w:hAnsi="宋体" w:cs="宋体" w:eastAsia="宋体"/>
                      <w:sz w:val="24"/>
                      <w:color w:val="000000"/>
                    </w:rPr>
                    <w:t xml:space="preserve"> 明</w:t>
                  </w:r>
                </w:p>
              </w:tc>
            </w:tr>
            <w:tr>
              <w:tc>
                <w:tcPr>
                  <w:tcW w:type="dxa" w:w="35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脲酶活性定性</w:t>
                  </w:r>
                </w:p>
              </w:tc>
              <w:tc>
                <w:tcPr>
                  <w:tcW w:type="dxa" w:w="10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阴</w:t>
                  </w:r>
                  <w:r>
                    <w:rPr>
                      <w:rFonts w:ascii="宋体" w:hAnsi="宋体" w:cs="宋体" w:eastAsia="宋体"/>
                      <w:sz w:val="24"/>
                      <w:color w:val="000000"/>
                    </w:rPr>
                    <w:t xml:space="preserve">  性</w:t>
                  </w:r>
                </w:p>
              </w:tc>
              <w:tc>
                <w:tcPr>
                  <w:tcW w:type="dxa" w:w="1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r>
          </w:tbl>
          <w:p>
            <w:pPr>
              <w:pStyle w:val="null3"/>
              <w:spacing w:before="150"/>
              <w:ind w:firstLine="482"/>
              <w:jc w:val="left"/>
            </w:pPr>
            <w:r>
              <w:rPr>
                <w:rFonts w:ascii="宋体" w:hAnsi="宋体" w:cs="宋体" w:eastAsia="宋体"/>
                <w:sz w:val="24"/>
                <w:b/>
                <w:color w:val="000000"/>
              </w:rPr>
              <w:t>（二）项目营养包配料要求</w:t>
            </w:r>
          </w:p>
          <w:p>
            <w:pPr>
              <w:pStyle w:val="null3"/>
              <w:ind w:firstLine="480"/>
              <w:jc w:val="left"/>
            </w:pPr>
            <w:r>
              <w:rPr>
                <w:rFonts w:ascii="宋体" w:hAnsi="宋体" w:cs="宋体" w:eastAsia="宋体"/>
                <w:sz w:val="24"/>
                <w:color w:val="000000"/>
              </w:rPr>
              <w:t>1.食物基质：应当选用非转基因的食品原料。每袋营养包中应含I类速溶豆粉至少8.4克，其质量须符合《速溶豆粉和豆奶粉》（GB/T 18738-2006）标准中的I类速溶豆粉要求及相应的食品安全标准。I类速溶豆粉应作为营养包中大豆蛋白的全部来源。</w:t>
            </w:r>
          </w:p>
          <w:p>
            <w:pPr>
              <w:pStyle w:val="null3"/>
              <w:ind w:firstLine="480"/>
              <w:jc w:val="left"/>
            </w:pPr>
            <w:r>
              <w:rPr>
                <w:rFonts w:ascii="宋体" w:hAnsi="宋体" w:cs="宋体" w:eastAsia="宋体"/>
                <w:sz w:val="24"/>
                <w:color w:val="000000"/>
              </w:rPr>
              <w:t>2.维生素和矿物质：</w:t>
            </w:r>
          </w:p>
          <w:tbl>
            <w:tblPr>
              <w:tblBorders>
                <w:top w:val="none" w:color="000000" w:sz="4"/>
                <w:left w:val="none" w:color="000000" w:sz="4"/>
                <w:bottom w:val="none" w:color="000000" w:sz="4"/>
                <w:right w:val="none" w:color="000000" w:sz="4"/>
                <w:insideH w:val="none"/>
                <w:insideV w:val="none"/>
              </w:tblBorders>
            </w:tblPr>
            <w:tblGrid>
              <w:gridCol w:w="440"/>
              <w:gridCol w:w="2112"/>
            </w:tblGrid>
            <w:tr>
              <w:tc>
                <w:tcPr>
                  <w:tcW w:type="dxa" w:w="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营养素</w:t>
                  </w:r>
                </w:p>
              </w:tc>
              <w:tc>
                <w:tcPr>
                  <w:tcW w:type="dxa" w:w="2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营养强化剂</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A</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微囊化冷水分散型粉末</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D</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D</w:t>
                  </w:r>
                  <w:r>
                    <w:rPr>
                      <w:rFonts w:ascii="宋体" w:hAnsi="宋体" w:cs="宋体" w:eastAsia="宋体"/>
                      <w:sz w:val="24"/>
                      <w:color w:val="000000"/>
                      <w:vertAlign w:val="subscript"/>
                    </w:rPr>
                    <w:t>3</w:t>
                  </w:r>
                  <w:r>
                    <w:rPr>
                      <w:rFonts w:ascii="宋体" w:hAnsi="宋体" w:cs="宋体" w:eastAsia="宋体"/>
                      <w:sz w:val="24"/>
                      <w:color w:val="000000"/>
                    </w:rPr>
                    <w:t>的微囊化冷水分散型粉末</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硝酸硫胺素或盐酸硫胺素</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2</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核黄素</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12</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氰钴胺</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叶酸</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叶酸</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钙</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碳酸钙</w:t>
                  </w:r>
                  <w:r>
                    <w:rPr>
                      <w:rFonts w:ascii="宋体" w:hAnsi="宋体" w:cs="宋体" w:eastAsia="宋体"/>
                      <w:sz w:val="24"/>
                      <w:color w:val="000000"/>
                    </w:rPr>
                    <w:t>*</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铁</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 mg 来自乙二胺四乙酸铁钠；5 mg 来自富马酸亚铁或焦磷酸铁</w:t>
                  </w:r>
                </w:p>
              </w:tc>
            </w:tr>
            <w:tr>
              <w:tc>
                <w:tcPr>
                  <w:tcW w:type="dxa" w:w="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锌</w:t>
                  </w:r>
                </w:p>
              </w:tc>
              <w:tc>
                <w:tcPr>
                  <w:tcW w:type="dxa" w:w="2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氧化锌</w:t>
                  </w:r>
                  <w:r>
                    <w:rPr>
                      <w:rFonts w:ascii="宋体" w:hAnsi="宋体" w:cs="宋体" w:eastAsia="宋体"/>
                      <w:sz w:val="24"/>
                      <w:color w:val="000000"/>
                    </w:rPr>
                    <w:t>*</w:t>
                  </w:r>
                </w:p>
              </w:tc>
            </w:tr>
          </w:tbl>
          <w:p>
            <w:pPr>
              <w:pStyle w:val="null3"/>
              <w:ind w:firstLine="480"/>
              <w:jc w:val="left"/>
            </w:pPr>
            <w:r>
              <w:rPr>
                <w:rFonts w:ascii="宋体" w:hAnsi="宋体" w:cs="宋体" w:eastAsia="宋体"/>
                <w:sz w:val="24"/>
                <w:color w:val="000000"/>
              </w:rPr>
              <w:t>注：</w:t>
            </w:r>
            <w:r>
              <w:rPr>
                <w:rFonts w:ascii="宋体" w:hAnsi="宋体" w:cs="宋体" w:eastAsia="宋体"/>
                <w:sz w:val="24"/>
                <w:color w:val="000000"/>
              </w:rPr>
              <w:t>*可选择其他钙和锌的化合物，其来源应符合GB 14880附录C要求。</w:t>
            </w:r>
          </w:p>
          <w:p>
            <w:pPr>
              <w:pStyle w:val="null3"/>
              <w:jc w:val="left"/>
            </w:pPr>
            <w:r>
              <w:rPr>
                <w:rFonts w:ascii="宋体" w:hAnsi="宋体" w:cs="宋体" w:eastAsia="宋体"/>
                <w:sz w:val="24"/>
                <w:b/>
                <w:color w:val="000000"/>
              </w:rPr>
              <w:t>（三）包装及标签标识要求</w:t>
            </w:r>
          </w:p>
          <w:p>
            <w:pPr>
              <w:pStyle w:val="null3"/>
              <w:ind w:firstLine="482"/>
              <w:jc w:val="left"/>
            </w:pPr>
            <w:r>
              <w:rPr>
                <w:rFonts w:ascii="宋体" w:hAnsi="宋体" w:cs="宋体" w:eastAsia="宋体"/>
                <w:sz w:val="24"/>
                <w:b/>
                <w:color w:val="000000"/>
              </w:rPr>
              <w:t>1.包装材料要求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1）内包装材质：采用食品包装用塑料与铝箔复合袋，材质质量应符合《食品包装用塑料与铝箔复合膜、袋》（GB/T 28118-2011）的要求及相应的食品安全标准，其中铝层厚度不低于7微米。</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2）纸盒：采用至少300 g/㎡规格的白卡纸制作，用于包装30袋营养包，白卡纸质量应当符合《涂布纸和纸板 涂布白卡纸》（GB/T 10335.3-2018）的要求。</w:t>
            </w:r>
          </w:p>
          <w:p>
            <w:pPr>
              <w:pStyle w:val="null3"/>
              <w:ind w:firstLine="482"/>
              <w:jc w:val="left"/>
            </w:pPr>
            <w:r>
              <w:rPr>
                <w:rFonts w:ascii="宋体" w:hAnsi="宋体" w:cs="宋体" w:eastAsia="宋体"/>
                <w:sz w:val="24"/>
                <w:b/>
                <w:color w:val="000000"/>
              </w:rPr>
              <w:t>2.标识内容要求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1）应当符合《食品安全国家标准 辅食营养补充品》（GB 22570-2014）、《食品安全国家标准 预包装食品标签通则》（GB 7718－2011）、《食品安全国家标准 预包装特殊膳食用食品标签》（GB 13432－2013）及</w:t>
            </w:r>
            <w:r>
              <w:rPr>
                <w:rFonts w:ascii="宋体" w:hAnsi="宋体" w:cs="宋体" w:eastAsia="宋体"/>
                <w:sz w:val="24"/>
                <w:color w:val="000000"/>
              </w:rPr>
              <w:t>国家项目</w:t>
            </w:r>
            <w:r>
              <w:rPr>
                <w:rFonts w:ascii="宋体" w:hAnsi="宋体" w:cs="宋体" w:eastAsia="宋体"/>
                <w:sz w:val="24"/>
                <w:color w:val="000000"/>
              </w:rPr>
              <w:t>标识要求。具体要求如下：</w:t>
            </w:r>
          </w:p>
          <w:p>
            <w:pPr>
              <w:pStyle w:val="null3"/>
              <w:ind w:firstLine="480"/>
              <w:jc w:val="left"/>
            </w:pPr>
            <w:r>
              <w:rPr>
                <w:rFonts w:ascii="宋体" w:hAnsi="宋体" w:cs="宋体" w:eastAsia="宋体"/>
                <w:sz w:val="24"/>
                <w:color w:val="000000"/>
              </w:rPr>
              <w:t>儿童营养改善项目专用</w:t>
            </w:r>
          </w:p>
          <w:p>
            <w:pPr>
              <w:pStyle w:val="null3"/>
              <w:ind w:firstLine="480"/>
              <w:jc w:val="left"/>
            </w:pPr>
            <w:r>
              <w:rPr>
                <w:rFonts w:ascii="宋体" w:hAnsi="宋体" w:cs="宋体" w:eastAsia="宋体"/>
                <w:sz w:val="24"/>
                <w:color w:val="000000"/>
              </w:rPr>
              <w:t>产品名称：婴幼儿辅食营养包（辅食营养补充品）</w:t>
            </w:r>
          </w:p>
          <w:p>
            <w:pPr>
              <w:pStyle w:val="null3"/>
              <w:ind w:firstLine="480"/>
              <w:jc w:val="left"/>
            </w:pPr>
            <w:r>
              <w:rPr>
                <w:rFonts w:ascii="宋体" w:hAnsi="宋体" w:cs="宋体" w:eastAsia="宋体"/>
                <w:sz w:val="24"/>
                <w:color w:val="000000"/>
              </w:rPr>
              <w:t>配料表：</w:t>
            </w:r>
            <w:r>
              <w:rPr>
                <w:rFonts w:ascii="宋体" w:hAnsi="宋体" w:cs="宋体" w:eastAsia="宋体"/>
                <w:sz w:val="24"/>
                <w:color w:val="000000"/>
              </w:rPr>
              <w:t>企业根据营养包实际配料并按</w:t>
            </w:r>
            <w:r>
              <w:rPr>
                <w:rFonts w:ascii="宋体" w:hAnsi="宋体" w:cs="宋体" w:eastAsia="宋体"/>
                <w:sz w:val="24"/>
                <w:color w:val="000000"/>
              </w:rPr>
              <w:t>GB 7718-2011</w:t>
            </w:r>
            <w:r>
              <w:rPr>
                <w:rFonts w:ascii="宋体" w:hAnsi="宋体" w:cs="宋体" w:eastAsia="宋体"/>
                <w:sz w:val="24"/>
                <w:color w:val="000000"/>
              </w:rPr>
              <w:t>和</w:t>
            </w:r>
            <w:r>
              <w:rPr>
                <w:rFonts w:ascii="宋体" w:hAnsi="宋体" w:cs="宋体" w:eastAsia="宋体"/>
                <w:sz w:val="24"/>
                <w:color w:val="000000"/>
              </w:rPr>
              <w:t>GB 13432-2013</w:t>
            </w:r>
            <w:r>
              <w:rPr>
                <w:rFonts w:ascii="宋体" w:hAnsi="宋体" w:cs="宋体" w:eastAsia="宋体"/>
                <w:sz w:val="24"/>
                <w:color w:val="000000"/>
              </w:rPr>
              <w:t>列出。</w:t>
            </w:r>
          </w:p>
          <w:p>
            <w:pPr>
              <w:pStyle w:val="null3"/>
              <w:ind w:firstLine="480"/>
              <w:jc w:val="left"/>
            </w:pPr>
            <w:r>
              <w:rPr>
                <w:rFonts w:ascii="宋体" w:hAnsi="宋体" w:cs="宋体" w:eastAsia="宋体"/>
                <w:sz w:val="24"/>
                <w:color w:val="000000"/>
              </w:rPr>
              <w:t>适宜人群：</w:t>
            </w:r>
            <w:r>
              <w:rPr>
                <w:rFonts w:ascii="宋体" w:hAnsi="宋体" w:cs="宋体" w:eastAsia="宋体"/>
                <w:sz w:val="24"/>
                <w:color w:val="000000"/>
              </w:rPr>
              <w:t>6-36月龄婴幼儿。</w:t>
            </w:r>
          </w:p>
          <w:p>
            <w:pPr>
              <w:pStyle w:val="null3"/>
              <w:ind w:firstLine="480"/>
              <w:jc w:val="left"/>
            </w:pPr>
            <w:r>
              <w:rPr>
                <w:rFonts w:ascii="宋体" w:hAnsi="宋体" w:cs="宋体" w:eastAsia="宋体"/>
                <w:sz w:val="24"/>
                <w:color w:val="000000"/>
              </w:rPr>
              <w:t>净含量</w:t>
            </w:r>
            <w:r>
              <w:rPr>
                <w:rFonts w:ascii="宋体" w:hAnsi="宋体" w:cs="宋体" w:eastAsia="宋体"/>
                <w:sz w:val="24"/>
                <w:color w:val="000000"/>
              </w:rPr>
              <w:t>/规格：360 g（12 g×30 袋）。</w:t>
            </w:r>
          </w:p>
          <w:p>
            <w:pPr>
              <w:pStyle w:val="null3"/>
              <w:ind w:firstLine="480"/>
              <w:jc w:val="left"/>
            </w:pPr>
            <w:r>
              <w:rPr>
                <w:rFonts w:ascii="宋体" w:hAnsi="宋体" w:cs="宋体" w:eastAsia="宋体"/>
                <w:sz w:val="24"/>
                <w:color w:val="000000"/>
              </w:rPr>
              <w:t>产品标准号：</w:t>
            </w:r>
            <w:r>
              <w:rPr>
                <w:rFonts w:ascii="宋体" w:hAnsi="宋体" w:cs="宋体" w:eastAsia="宋体"/>
                <w:sz w:val="24"/>
                <w:color w:val="000000"/>
              </w:rPr>
              <w:t>GB 22570</w:t>
            </w:r>
          </w:p>
          <w:p>
            <w:pPr>
              <w:pStyle w:val="null3"/>
              <w:ind w:firstLine="480"/>
              <w:jc w:val="left"/>
            </w:pPr>
            <w:r>
              <w:rPr>
                <w:rFonts w:ascii="宋体" w:hAnsi="宋体" w:cs="宋体" w:eastAsia="宋体"/>
                <w:sz w:val="24"/>
                <w:color w:val="000000"/>
              </w:rPr>
              <w:t>食用方法及食用量：每日</w:t>
            </w:r>
            <w:r>
              <w:rPr>
                <w:rFonts w:ascii="宋体" w:hAnsi="宋体" w:cs="宋体" w:eastAsia="宋体"/>
                <w:sz w:val="24"/>
                <w:color w:val="000000"/>
              </w:rPr>
              <w:t>1袋，拌入婴幼儿辅食中或直接以温开水调成糊状食用。（附使用示意图）</w:t>
            </w:r>
          </w:p>
          <w:p>
            <w:pPr>
              <w:pStyle w:val="null3"/>
              <w:ind w:firstLine="480"/>
              <w:jc w:val="left"/>
            </w:pPr>
            <w:r>
              <w:rPr>
                <w:rFonts w:ascii="宋体" w:hAnsi="宋体" w:cs="宋体" w:eastAsia="宋体"/>
                <w:sz w:val="24"/>
                <w:color w:val="000000"/>
              </w:rPr>
              <w:t>生产日期：</w:t>
            </w:r>
          </w:p>
          <w:p>
            <w:pPr>
              <w:pStyle w:val="null3"/>
              <w:ind w:firstLine="480"/>
              <w:jc w:val="left"/>
            </w:pPr>
            <w:r>
              <w:rPr>
                <w:rFonts w:ascii="宋体" w:hAnsi="宋体" w:cs="宋体" w:eastAsia="宋体"/>
                <w:sz w:val="24"/>
                <w:color w:val="000000"/>
              </w:rPr>
              <w:t>批号：</w:t>
            </w:r>
          </w:p>
          <w:p>
            <w:pPr>
              <w:pStyle w:val="null3"/>
              <w:ind w:firstLine="480"/>
              <w:jc w:val="left"/>
            </w:pPr>
            <w:r>
              <w:rPr>
                <w:rFonts w:ascii="宋体" w:hAnsi="宋体" w:cs="宋体" w:eastAsia="宋体"/>
                <w:sz w:val="24"/>
                <w:color w:val="000000"/>
              </w:rPr>
              <w:t>保质期：</w:t>
            </w:r>
          </w:p>
          <w:p>
            <w:pPr>
              <w:pStyle w:val="null3"/>
              <w:ind w:firstLine="480"/>
              <w:jc w:val="left"/>
            </w:pPr>
            <w:r>
              <w:rPr>
                <w:rFonts w:ascii="宋体" w:hAnsi="宋体" w:cs="宋体" w:eastAsia="宋体"/>
                <w:sz w:val="24"/>
                <w:color w:val="000000"/>
              </w:rPr>
              <w:t>贮存条件：置于室内阴凉干燥处保存。</w:t>
            </w:r>
          </w:p>
          <w:p>
            <w:pPr>
              <w:pStyle w:val="null3"/>
              <w:ind w:firstLine="480"/>
              <w:jc w:val="left"/>
            </w:pPr>
            <w:r>
              <w:rPr>
                <w:rFonts w:ascii="宋体" w:hAnsi="宋体" w:cs="宋体" w:eastAsia="宋体"/>
                <w:sz w:val="24"/>
                <w:color w:val="000000"/>
              </w:rPr>
              <w:t>注意事项：本品不能代替母乳及婴幼儿辅助食品；本品添加多种微量营养素，与其他同类产品同时食用时应注意用量。</w:t>
            </w:r>
          </w:p>
          <w:p>
            <w:pPr>
              <w:pStyle w:val="null3"/>
              <w:ind w:firstLine="480"/>
              <w:jc w:val="left"/>
            </w:pPr>
            <w:r>
              <w:rPr>
                <w:rFonts w:ascii="宋体" w:hAnsi="宋体" w:cs="宋体" w:eastAsia="宋体"/>
                <w:sz w:val="24"/>
                <w:color w:val="000000"/>
              </w:rPr>
              <w:t>生产商：（名称、地址、联系电话）</w:t>
            </w:r>
          </w:p>
          <w:p>
            <w:pPr>
              <w:pStyle w:val="null3"/>
              <w:ind w:firstLine="480"/>
              <w:jc w:val="left"/>
            </w:pPr>
            <w:r>
              <w:rPr>
                <w:rFonts w:ascii="宋体" w:hAnsi="宋体" w:cs="宋体" w:eastAsia="宋体"/>
                <w:sz w:val="24"/>
                <w:color w:val="000000"/>
              </w:rPr>
              <w:t>营养成分表：</w:t>
            </w:r>
          </w:p>
          <w:tbl>
            <w:tblPr>
              <w:tblBorders>
                <w:top w:val="none" w:color="000000" w:sz="4"/>
                <w:left w:val="none" w:color="000000" w:sz="4"/>
                <w:bottom w:val="none" w:color="000000" w:sz="4"/>
                <w:right w:val="none" w:color="000000" w:sz="4"/>
                <w:insideH w:val="none"/>
                <w:insideV w:val="none"/>
              </w:tblBorders>
            </w:tblPr>
            <w:tblGrid>
              <w:gridCol w:w="1403"/>
              <w:gridCol w:w="1150"/>
            </w:tblGrid>
            <w:tr>
              <w:tc>
                <w:tcPr>
                  <w:tcW w:type="dxa" w:w="14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营养成分</w:t>
                  </w:r>
                </w:p>
              </w:tc>
              <w:tc>
                <w:tcPr>
                  <w:tcW w:type="dxa" w:w="11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每份（</w:t>
                  </w:r>
                  <w:r>
                    <w:rPr>
                      <w:rFonts w:ascii="宋体" w:hAnsi="宋体" w:cs="宋体" w:eastAsia="宋体"/>
                      <w:sz w:val="24"/>
                      <w:b/>
                      <w:color w:val="000000"/>
                    </w:rPr>
                    <w:t>12 g)</w:t>
                  </w:r>
                </w:p>
              </w:tc>
            </w:tr>
            <w:tr>
              <w:tc>
                <w:tcPr>
                  <w:tcW w:type="dxa" w:w="1403"/>
                  <w:vMerge/>
                  <w:tcBorders>
                    <w:top w:val="single" w:color="000000" w:sz="4"/>
                    <w:left w:val="single" w:color="000000" w:sz="4"/>
                    <w:bottom w:val="single" w:color="000000" w:sz="4"/>
                    <w:right w:val="single" w:color="000000" w:sz="4"/>
                  </w:tcBorders>
                </w:tcPr>
                <w:p/>
              </w:tc>
              <w:tc>
                <w:tcPr>
                  <w:tcW w:type="dxa" w:w="1150"/>
                  <w:vMerge/>
                  <w:tcBorders>
                    <w:top w:val="single" w:color="000000" w:sz="4"/>
                    <w:left w:val="single" w:color="000000" w:sz="4"/>
                    <w:bottom w:val="single" w:color="000000" w:sz="4"/>
                    <w:right w:val="single" w:color="000000" w:sz="4"/>
                  </w:tcBorders>
                </w:tc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能量（</w:t>
                  </w:r>
                  <w:r>
                    <w:rPr>
                      <w:rFonts w:ascii="宋体" w:hAnsi="宋体" w:cs="宋体" w:eastAsia="宋体"/>
                      <w:sz w:val="24"/>
                      <w:color w:val="000000"/>
                    </w:rPr>
                    <w:t>kJ）</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蛋白质（</w:t>
                  </w:r>
                  <w:r>
                    <w:rPr>
                      <w:rFonts w:ascii="宋体" w:hAnsi="宋体" w:cs="宋体" w:eastAsia="宋体"/>
                      <w:sz w:val="24"/>
                      <w:color w:val="000000"/>
                    </w:rPr>
                    <w:t>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脂肪（</w:t>
                  </w:r>
                  <w:r>
                    <w:rPr>
                      <w:rFonts w:ascii="宋体" w:hAnsi="宋体" w:cs="宋体" w:eastAsia="宋体"/>
                      <w:sz w:val="24"/>
                      <w:color w:val="000000"/>
                    </w:rPr>
                    <w:t>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碳水化合物（</w:t>
                  </w:r>
                  <w:r>
                    <w:rPr>
                      <w:rFonts w:ascii="宋体" w:hAnsi="宋体" w:cs="宋体" w:eastAsia="宋体"/>
                      <w:sz w:val="24"/>
                      <w:color w:val="000000"/>
                    </w:rPr>
                    <w:t>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钠（</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钙（</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铁（</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锌（</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A（</w:t>
                  </w:r>
                  <w:r>
                    <w:rPr>
                      <w:rFonts w:ascii="宋体" w:hAnsi="宋体" w:cs="宋体" w:eastAsia="宋体"/>
                      <w:sz w:val="24"/>
                      <w:color w:val="000000"/>
                    </w:rPr>
                    <w:t>μg RE</w:t>
                  </w:r>
                  <w:r>
                    <w:rPr>
                      <w:rFonts w:ascii="宋体" w:hAnsi="宋体" w:cs="宋体" w:eastAsia="宋体"/>
                      <w:sz w:val="24"/>
                      <w:color w:val="000000"/>
                    </w:rPr>
                    <w:t>）</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D（μg）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w:t>
                  </w:r>
                  <w:r>
                    <w:rPr>
                      <w:rFonts w:ascii="宋体" w:hAnsi="宋体" w:cs="宋体" w:eastAsia="宋体"/>
                      <w:sz w:val="24"/>
                      <w:color w:val="000000"/>
                    </w:rPr>
                    <w:t>（</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2</w:t>
                  </w:r>
                  <w:r>
                    <w:rPr>
                      <w:rFonts w:ascii="宋体" w:hAnsi="宋体" w:cs="宋体" w:eastAsia="宋体"/>
                      <w:sz w:val="24"/>
                      <w:color w:val="000000"/>
                    </w:rPr>
                    <w:t>（</w:t>
                  </w:r>
                  <w:r>
                    <w:rPr>
                      <w:rFonts w:ascii="宋体" w:hAnsi="宋体" w:cs="宋体" w:eastAsia="宋体"/>
                      <w:sz w:val="24"/>
                      <w:color w:val="000000"/>
                    </w:rPr>
                    <w:t>mg）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叶酸（</w:t>
                  </w:r>
                  <w:r>
                    <w:rPr>
                      <w:rFonts w:ascii="宋体" w:hAnsi="宋体" w:cs="宋体" w:eastAsia="宋体"/>
                      <w:sz w:val="24"/>
                      <w:color w:val="000000"/>
                    </w:rPr>
                    <w:t>μg）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75.0</w:t>
                  </w:r>
                </w:p>
              </w:tc>
            </w:tr>
            <w:tr>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color w:val="000000"/>
                      <w:vertAlign w:val="subscript"/>
                    </w:rPr>
                    <w:t>12</w:t>
                  </w:r>
                  <w:r>
                    <w:rPr>
                      <w:rFonts w:ascii="宋体" w:hAnsi="宋体" w:cs="宋体" w:eastAsia="宋体"/>
                      <w:sz w:val="24"/>
                      <w:color w:val="000000"/>
                    </w:rPr>
                    <w:t>（</w:t>
                  </w:r>
                  <w:r>
                    <w:rPr>
                      <w:rFonts w:ascii="宋体" w:hAnsi="宋体" w:cs="宋体" w:eastAsia="宋体"/>
                      <w:sz w:val="24"/>
                      <w:color w:val="000000"/>
                    </w:rPr>
                    <w:t>μg）</w:t>
                  </w:r>
                </w:p>
              </w:tc>
              <w:tc>
                <w:tcPr>
                  <w:tcW w:type="dxa" w:w="1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0.50</w:t>
                  </w:r>
                </w:p>
              </w:tc>
            </w:tr>
          </w:tbl>
          <w:p>
            <w:pPr>
              <w:pStyle w:val="null3"/>
              <w:ind w:firstLine="480"/>
              <w:jc w:val="left"/>
            </w:pPr>
            <w:r>
              <w:rPr>
                <w:rFonts w:ascii="宋体" w:hAnsi="宋体" w:cs="宋体" w:eastAsia="宋体"/>
                <w:sz w:val="24"/>
                <w:color w:val="000000"/>
              </w:rPr>
              <w:t>（</w:t>
            </w:r>
            <w:r>
              <w:rPr>
                <w:rFonts w:ascii="宋体" w:hAnsi="宋体" w:cs="宋体" w:eastAsia="宋体"/>
                <w:sz w:val="24"/>
                <w:color w:val="000000"/>
              </w:rPr>
              <w:t>2）项目专用包装应当以项目名称为主，生产企业标识为辅；</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3）以图文并茂的方式详细说明营养包用法。</w:t>
            </w:r>
          </w:p>
          <w:p>
            <w:pPr>
              <w:pStyle w:val="null3"/>
              <w:ind w:firstLine="480"/>
              <w:jc w:val="left"/>
            </w:pPr>
            <w:r>
              <w:rPr>
                <w:rFonts w:ascii="宋体" w:hAnsi="宋体" w:cs="宋体" w:eastAsia="宋体"/>
                <w:sz w:val="24"/>
                <w:color w:val="000000"/>
              </w:rPr>
              <w:t>3.小袋标识：产品名称，并醒目标识“儿童营养改善项目专用”字样。</w:t>
            </w:r>
          </w:p>
          <w:p>
            <w:pPr>
              <w:pStyle w:val="null3"/>
              <w:ind w:firstLine="480"/>
              <w:jc w:val="left"/>
            </w:pPr>
            <w:r>
              <w:rPr>
                <w:rFonts w:ascii="宋体" w:hAnsi="宋体" w:cs="宋体" w:eastAsia="宋体"/>
                <w:sz w:val="24"/>
                <w:color w:val="000000"/>
              </w:rPr>
              <w:t>4.外盒标识：在醒目位置标识“儿童营养改善项目专用”和“国家免费”字样、主办单位名称、生产商、产品名称、类别、配料、营养成分表及含量声称、适用人群、批号、生产日期、保质期、贮存条件、注意事项、图表性标识食用方法和食用量、净含量/规格、厂商地址、电话等。</w:t>
            </w:r>
          </w:p>
          <w:p>
            <w:pPr>
              <w:pStyle w:val="null3"/>
              <w:ind w:firstLine="480"/>
              <w:jc w:val="left"/>
            </w:pPr>
            <w:r>
              <w:rPr>
                <w:rFonts w:ascii="宋体" w:hAnsi="宋体" w:cs="宋体" w:eastAsia="宋体"/>
                <w:sz w:val="24"/>
                <w:color w:val="000000"/>
              </w:rPr>
              <w:t>5.外箱标识：醒目位置标识“儿童营养改善项目专用”和“国家免费”字样、主办单位名称、生产商、产品名称、净含量（盒/箱×袋/盒，重量g）、生产日期和/或批号、厂商地址、电话。</w:t>
            </w:r>
          </w:p>
          <w:p>
            <w:pPr>
              <w:pStyle w:val="null3"/>
              <w:ind w:firstLine="482"/>
              <w:jc w:val="left"/>
            </w:pPr>
            <w:r>
              <w:rPr>
                <w:rFonts w:ascii="宋体" w:hAnsi="宋体" w:cs="宋体" w:eastAsia="宋体"/>
                <w:sz w:val="24"/>
                <w:b/>
                <w:color w:val="000000"/>
              </w:rPr>
              <w:t>四、企业生产和服务要求</w:t>
            </w:r>
          </w:p>
          <w:p>
            <w:pPr>
              <w:pStyle w:val="null3"/>
              <w:ind w:firstLine="482"/>
              <w:jc w:val="left"/>
            </w:pPr>
            <w:r>
              <w:rPr>
                <w:rFonts w:ascii="宋体" w:hAnsi="宋体" w:cs="宋体" w:eastAsia="宋体"/>
                <w:sz w:val="24"/>
                <w:b/>
                <w:color w:val="000000"/>
              </w:rPr>
              <w:t>（一）生产要求</w:t>
            </w:r>
          </w:p>
          <w:p>
            <w:pPr>
              <w:pStyle w:val="null3"/>
              <w:ind w:firstLine="480"/>
              <w:jc w:val="left"/>
            </w:pPr>
            <w:r>
              <w:rPr>
                <w:rFonts w:ascii="宋体" w:hAnsi="宋体" w:cs="宋体" w:eastAsia="宋体"/>
                <w:sz w:val="24"/>
                <w:color w:val="000000"/>
              </w:rPr>
              <w:t>1.建立并运行全面的食品安全管理体系、质量管理体系、食品安全防御性计划。</w:t>
            </w:r>
          </w:p>
          <w:p>
            <w:pPr>
              <w:pStyle w:val="null3"/>
              <w:ind w:firstLine="480"/>
              <w:jc w:val="left"/>
            </w:pPr>
            <w:r>
              <w:rPr>
                <w:rFonts w:ascii="宋体" w:hAnsi="宋体" w:cs="宋体" w:eastAsia="宋体"/>
                <w:sz w:val="24"/>
                <w:color w:val="000000"/>
              </w:rPr>
              <w:t>2.生产企业必须具备《食品安全国家标准 辅食营养补充品》（GB22570-2014）技术要求的检测能力，包括感官、蛋白质、钙、铁、锌、维生素A、维生素D、维生素B</w:t>
            </w:r>
            <w:r>
              <w:rPr>
                <w:rFonts w:ascii="宋体" w:hAnsi="宋体" w:cs="宋体" w:eastAsia="宋体"/>
                <w:sz w:val="24"/>
                <w:b/>
                <w:color w:val="000000"/>
                <w:vertAlign w:val="subscript"/>
              </w:rPr>
              <w:t>1</w:t>
            </w: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b/>
                <w:color w:val="000000"/>
                <w:vertAlign w:val="subscript"/>
              </w:rPr>
              <w:t>2</w:t>
            </w:r>
            <w:r>
              <w:rPr>
                <w:rFonts w:ascii="宋体" w:hAnsi="宋体" w:cs="宋体" w:eastAsia="宋体"/>
                <w:sz w:val="24"/>
                <w:color w:val="000000"/>
              </w:rPr>
              <w:t>、叶酸、维生素</w:t>
            </w:r>
            <w:r>
              <w:rPr>
                <w:rFonts w:ascii="宋体" w:hAnsi="宋体" w:cs="宋体" w:eastAsia="宋体"/>
                <w:sz w:val="24"/>
                <w:color w:val="000000"/>
              </w:rPr>
              <w:t>B</w:t>
            </w:r>
            <w:r>
              <w:rPr>
                <w:rFonts w:ascii="宋体" w:hAnsi="宋体" w:cs="宋体" w:eastAsia="宋体"/>
                <w:sz w:val="24"/>
                <w:b/>
                <w:color w:val="000000"/>
                <w:vertAlign w:val="subscript"/>
              </w:rPr>
              <w:t>12</w:t>
            </w:r>
            <w:r>
              <w:rPr>
                <w:rFonts w:ascii="宋体" w:hAnsi="宋体" w:cs="宋体" w:eastAsia="宋体"/>
                <w:sz w:val="24"/>
                <w:color w:val="000000"/>
              </w:rPr>
              <w:t>、铅、总砷、硝酸盐、黄曲霉毒素</w:t>
            </w:r>
            <w:r>
              <w:rPr>
                <w:rFonts w:ascii="宋体" w:hAnsi="宋体" w:cs="宋体" w:eastAsia="宋体"/>
                <w:sz w:val="24"/>
                <w:color w:val="000000"/>
              </w:rPr>
              <w:t>B</w:t>
            </w:r>
            <w:r>
              <w:rPr>
                <w:rFonts w:ascii="宋体" w:hAnsi="宋体" w:cs="宋体" w:eastAsia="宋体"/>
                <w:sz w:val="24"/>
                <w:b/>
                <w:color w:val="000000"/>
                <w:vertAlign w:val="subscript"/>
              </w:rPr>
              <w:t>1</w:t>
            </w:r>
            <w:r>
              <w:rPr>
                <w:rFonts w:ascii="宋体" w:hAnsi="宋体" w:cs="宋体" w:eastAsia="宋体"/>
                <w:sz w:val="24"/>
                <w:color w:val="000000"/>
              </w:rPr>
              <w:t>和黄曲霉毒素</w:t>
            </w:r>
            <w:r>
              <w:rPr>
                <w:rFonts w:ascii="宋体" w:hAnsi="宋体" w:cs="宋体" w:eastAsia="宋体"/>
                <w:sz w:val="24"/>
                <w:color w:val="000000"/>
              </w:rPr>
              <w:t>M</w:t>
            </w:r>
            <w:r>
              <w:rPr>
                <w:rFonts w:ascii="宋体" w:hAnsi="宋体" w:cs="宋体" w:eastAsia="宋体"/>
                <w:sz w:val="24"/>
                <w:b/>
                <w:color w:val="000000"/>
                <w:vertAlign w:val="subscript"/>
              </w:rPr>
              <w:t>1</w:t>
            </w:r>
            <w:r>
              <w:rPr>
                <w:rFonts w:ascii="宋体" w:hAnsi="宋体" w:cs="宋体" w:eastAsia="宋体"/>
                <w:sz w:val="24"/>
                <w:color w:val="000000"/>
              </w:rPr>
              <w:t>；脲酶活性；菌落总数、大肠菌群、沙门氏菌。</w:t>
            </w:r>
          </w:p>
          <w:p>
            <w:pPr>
              <w:pStyle w:val="null3"/>
              <w:ind w:firstLine="480"/>
              <w:jc w:val="left"/>
            </w:pPr>
            <w:r>
              <w:rPr>
                <w:rFonts w:ascii="宋体" w:hAnsi="宋体" w:cs="宋体" w:eastAsia="宋体"/>
                <w:sz w:val="24"/>
                <w:color w:val="000000"/>
              </w:rPr>
              <w:t>3.提供项目产品检测报告。</w:t>
            </w:r>
          </w:p>
          <w:p>
            <w:pPr>
              <w:pStyle w:val="null3"/>
              <w:ind w:firstLine="480"/>
              <w:jc w:val="left"/>
            </w:pPr>
            <w:r>
              <w:rPr>
                <w:rFonts w:ascii="宋体" w:hAnsi="宋体" w:cs="宋体" w:eastAsia="宋体"/>
                <w:sz w:val="24"/>
                <w:color w:val="000000"/>
              </w:rPr>
              <w:t>按以下要求，在项目实施后，需提供项目营养包的检验报告至县项目办。</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1）批次出厂检验报告。每批次检验报告项目必须包括：感官、蛋白质、钙、铁、锌、维生素A、维生素D、维生素B</w:t>
            </w:r>
            <w:r>
              <w:rPr>
                <w:rFonts w:ascii="宋体" w:hAnsi="宋体" w:cs="宋体" w:eastAsia="宋体"/>
                <w:sz w:val="24"/>
                <w:b/>
                <w:color w:val="000000"/>
                <w:vertAlign w:val="subscript"/>
              </w:rPr>
              <w:t>1</w:t>
            </w:r>
            <w:r>
              <w:rPr>
                <w:rFonts w:ascii="宋体" w:hAnsi="宋体" w:cs="宋体" w:eastAsia="宋体"/>
                <w:sz w:val="24"/>
                <w:color w:val="000000"/>
              </w:rPr>
              <w:t>、维生素</w:t>
            </w:r>
            <w:r>
              <w:rPr>
                <w:rFonts w:ascii="宋体" w:hAnsi="宋体" w:cs="宋体" w:eastAsia="宋体"/>
                <w:sz w:val="24"/>
                <w:color w:val="000000"/>
              </w:rPr>
              <w:t>B</w:t>
            </w:r>
            <w:r>
              <w:rPr>
                <w:rFonts w:ascii="宋体" w:hAnsi="宋体" w:cs="宋体" w:eastAsia="宋体"/>
                <w:sz w:val="24"/>
                <w:b/>
                <w:color w:val="000000"/>
                <w:vertAlign w:val="subscript"/>
              </w:rPr>
              <w:t>2</w:t>
            </w:r>
            <w:r>
              <w:rPr>
                <w:rFonts w:ascii="宋体" w:hAnsi="宋体" w:cs="宋体" w:eastAsia="宋体"/>
                <w:sz w:val="24"/>
                <w:color w:val="000000"/>
              </w:rPr>
              <w:t>、叶酸、维生素</w:t>
            </w:r>
            <w:r>
              <w:rPr>
                <w:rFonts w:ascii="宋体" w:hAnsi="宋体" w:cs="宋体" w:eastAsia="宋体"/>
                <w:sz w:val="24"/>
                <w:color w:val="000000"/>
              </w:rPr>
              <w:t>B</w:t>
            </w:r>
            <w:r>
              <w:rPr>
                <w:rFonts w:ascii="宋体" w:hAnsi="宋体" w:cs="宋体" w:eastAsia="宋体"/>
                <w:sz w:val="24"/>
                <w:b/>
                <w:color w:val="000000"/>
                <w:vertAlign w:val="subscript"/>
              </w:rPr>
              <w:t>12</w:t>
            </w:r>
            <w:r>
              <w:rPr>
                <w:rFonts w:ascii="宋体" w:hAnsi="宋体" w:cs="宋体" w:eastAsia="宋体"/>
                <w:sz w:val="24"/>
                <w:color w:val="000000"/>
              </w:rPr>
              <w:t>、铅、总砷、硝酸盐、黄曲霉毒素</w:t>
            </w:r>
            <w:r>
              <w:rPr>
                <w:rFonts w:ascii="宋体" w:hAnsi="宋体" w:cs="宋体" w:eastAsia="宋体"/>
                <w:sz w:val="24"/>
                <w:color w:val="000000"/>
              </w:rPr>
              <w:t>B</w:t>
            </w:r>
            <w:r>
              <w:rPr>
                <w:rFonts w:ascii="宋体" w:hAnsi="宋体" w:cs="宋体" w:eastAsia="宋体"/>
                <w:sz w:val="24"/>
                <w:b/>
                <w:color w:val="000000"/>
                <w:vertAlign w:val="subscript"/>
              </w:rPr>
              <w:t>1</w:t>
            </w:r>
            <w:r>
              <w:rPr>
                <w:rFonts w:ascii="宋体" w:hAnsi="宋体" w:cs="宋体" w:eastAsia="宋体"/>
                <w:sz w:val="24"/>
                <w:color w:val="000000"/>
              </w:rPr>
              <w:t>和</w:t>
            </w:r>
            <w:r>
              <w:rPr>
                <w:rFonts w:ascii="宋体" w:hAnsi="宋体" w:cs="宋体" w:eastAsia="宋体"/>
                <w:sz w:val="24"/>
                <w:color w:val="000000"/>
              </w:rPr>
              <w:t>/或黄曲霉毒素M</w:t>
            </w:r>
            <w:r>
              <w:rPr>
                <w:rFonts w:ascii="宋体" w:hAnsi="宋体" w:cs="宋体" w:eastAsia="宋体"/>
                <w:sz w:val="24"/>
                <w:b/>
                <w:color w:val="000000"/>
                <w:vertAlign w:val="subscript"/>
              </w:rPr>
              <w:t>1</w:t>
            </w:r>
            <w:r>
              <w:rPr>
                <w:rFonts w:ascii="宋体" w:hAnsi="宋体" w:cs="宋体" w:eastAsia="宋体"/>
                <w:sz w:val="24"/>
                <w:color w:val="000000"/>
              </w:rPr>
              <w:t>、脲酶活性、菌落总数、大肠菌群、沙门氏菌。</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2）型式检验报告。每半年1次，第1次提供报告时间为开始履约供应项目营养包的前3个月内，按项目产品的相关标准要求对项目营养包进行全项检验，并提供由有资质的第三方食品检验机构出具的检验报告。</w:t>
            </w:r>
          </w:p>
          <w:p>
            <w:pPr>
              <w:pStyle w:val="null3"/>
              <w:ind w:firstLine="480"/>
              <w:jc w:val="left"/>
            </w:pPr>
            <w:r>
              <w:rPr>
                <w:rFonts w:ascii="宋体" w:hAnsi="宋体" w:cs="宋体" w:eastAsia="宋体"/>
                <w:sz w:val="24"/>
                <w:color w:val="000000"/>
              </w:rPr>
              <w:t>4.应按国家法律法规的规定组织生产，保障产品质量并对产品质量负责。</w:t>
            </w:r>
          </w:p>
          <w:p>
            <w:pPr>
              <w:pStyle w:val="null3"/>
              <w:ind w:firstLine="480"/>
              <w:jc w:val="left"/>
            </w:pPr>
            <w:r>
              <w:rPr>
                <w:rFonts w:ascii="宋体" w:hAnsi="宋体" w:cs="宋体" w:eastAsia="宋体"/>
                <w:sz w:val="24"/>
                <w:color w:val="000000"/>
              </w:rPr>
              <w:t>5.供应商在国家级、省级监管部门食品安全抽检中，应无不合格记录，提供书面声明以及“婴幼儿辅食营养包”抽检记录查询截图（查询网站：食品安全抽检公布结果查询系统，查询网址：spcjsac.gsxt.gov.cn）。</w:t>
            </w:r>
          </w:p>
          <w:p>
            <w:pPr>
              <w:pStyle w:val="null3"/>
              <w:ind w:firstLine="480"/>
              <w:jc w:val="left"/>
            </w:pPr>
            <w:r>
              <w:rPr>
                <w:rFonts w:ascii="宋体" w:hAnsi="宋体" w:cs="宋体" w:eastAsia="宋体"/>
                <w:sz w:val="24"/>
                <w:color w:val="000000"/>
              </w:rPr>
              <w:t>6.项目营养包须符合清真食品要求。</w:t>
            </w:r>
          </w:p>
          <w:p>
            <w:pPr>
              <w:pStyle w:val="null3"/>
              <w:ind w:firstLine="482"/>
              <w:jc w:val="left"/>
            </w:pPr>
            <w:r>
              <w:rPr>
                <w:rFonts w:ascii="宋体" w:hAnsi="宋体" w:cs="宋体" w:eastAsia="宋体"/>
                <w:sz w:val="24"/>
                <w:b/>
                <w:color w:val="000000"/>
              </w:rPr>
              <w:t>（二）服务要求</w:t>
            </w:r>
          </w:p>
          <w:p>
            <w:pPr>
              <w:pStyle w:val="null3"/>
              <w:ind w:firstLine="480"/>
              <w:jc w:val="left"/>
            </w:pPr>
            <w:r>
              <w:rPr>
                <w:rFonts w:ascii="宋体" w:hAnsi="宋体" w:cs="宋体" w:eastAsia="宋体"/>
                <w:sz w:val="24"/>
                <w:color w:val="000000"/>
              </w:rPr>
              <w:t>1.中标企业应当按照采购合同要求负责运送项目产品至各项目县指定地点。为保障营养包安全有效，营养包生产后应在3个月内配送。</w:t>
            </w:r>
          </w:p>
          <w:p>
            <w:pPr>
              <w:pStyle w:val="null3"/>
              <w:ind w:firstLine="480"/>
              <w:jc w:val="left"/>
            </w:pPr>
            <w:r>
              <w:rPr>
                <w:rFonts w:ascii="宋体" w:hAnsi="宋体" w:cs="宋体" w:eastAsia="宋体"/>
                <w:sz w:val="24"/>
                <w:color w:val="000000"/>
              </w:rPr>
              <w:t>2.中标企业首次配送产品时，为项目县发放点提供符合储存食品要求、防潮防鼠防漏的产品保藏设备，如塑料储存箱等容器，容器储存量约为20人×2月用量。</w:t>
            </w:r>
          </w:p>
          <w:p>
            <w:pPr>
              <w:pStyle w:val="null3"/>
              <w:ind w:firstLine="480"/>
              <w:jc w:val="left"/>
            </w:pPr>
            <w:r>
              <w:rPr>
                <w:rFonts w:ascii="宋体" w:hAnsi="宋体" w:cs="宋体" w:eastAsia="宋体"/>
                <w:sz w:val="24"/>
                <w:color w:val="000000"/>
              </w:rPr>
              <w:t>3.中标企业在供货过程中，营养包出现包装破损、标签不清、污损等问题，应当无条件退货。在保质期内，营养包出现感官等质量问题，经县级项目管理办公室组织确认，接收方有权要求退货，原则上终止供货合同。若判定为不安全食品，应按国家相关法规处置，予以召回。</w:t>
            </w:r>
          </w:p>
          <w:p>
            <w:pPr>
              <w:pStyle w:val="null3"/>
              <w:ind w:firstLine="480"/>
              <w:jc w:val="left"/>
            </w:pPr>
            <w:r>
              <w:rPr>
                <w:rFonts w:ascii="宋体" w:hAnsi="宋体" w:cs="宋体" w:eastAsia="宋体"/>
                <w:sz w:val="24"/>
                <w:color w:val="000000"/>
              </w:rPr>
              <w:t>4.中标企业提供电话咨询服务，解答营养包食用中遇到的问题。</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接到采购方通知之日起10个日历日内供货，按采购方要求分批完成供货任务。</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第一批货到后，采购人根据供货接收登记单在1个月内</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第二批货到后，采购人向中标企业</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待所有产品供货完毕后</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参照《财政部关于进一步加强政府采购需求和履约验收管理的指导意见》(财库 (2016) 205号)。自行组织验收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范围：磋商文件服务要求所对应的内容；保修期：甲乙双方在合同中约定</w:t>
      </w:r>
    </w:p>
    <w:p>
      <w:pPr>
        <w:pStyle w:val="null3"/>
        <w:outlineLvl w:val="3"/>
      </w:pPr>
      <w:r>
        <w:rPr>
          <w:sz w:val="24"/>
          <w:b/>
        </w:rPr>
        <w:t>3.4.8违约责任与解决争议的方法</w:t>
      </w:r>
    </w:p>
    <w:p>
      <w:pPr>
        <w:pStyle w:val="null3"/>
      </w:pPr>
      <w:r>
        <w:rPr/>
        <w:t>采购包1：</w:t>
      </w:r>
    </w:p>
    <w:p>
      <w:pPr>
        <w:pStyle w:val="null3"/>
      </w:pPr>
      <w:r>
        <w:rPr/>
        <w:t>以双方最终签订的合同内约定的具体条为准。</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法定代表人委托授权书</w:t>
            </w:r>
          </w:p>
        </w:tc>
        <w:tc>
          <w:tcPr>
            <w:tcW w:type="dxa" w:w="3322"/>
          </w:tcPr>
          <w:p>
            <w:pPr>
              <w:pStyle w:val="null3"/>
            </w:pPr>
            <w:r>
              <w:rPr/>
              <w:t>法定代表人授权书（附法定代表人身份证复印件）及被授权人身份证（法定代表人直接参加 谈判只须提供法定代表人身份证）；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营养包相关食品生产许可证</w:t>
            </w:r>
          </w:p>
        </w:tc>
        <w:tc>
          <w:tcPr>
            <w:tcW w:type="dxa" w:w="3322"/>
          </w:tcPr>
          <w:p>
            <w:pPr>
              <w:pStyle w:val="null3"/>
            </w:pPr>
            <w:r>
              <w:rPr/>
              <w:t>供应商应当具备市场监管部门颁发的营养包相关食品生产许可证，副本（或副页）中载明辅食营养补充品（或辅食营养素补充食品）生产明细，且在有效期内；</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没有因食品安全问题导致产品召回的书面声明</w:t>
            </w:r>
          </w:p>
        </w:tc>
        <w:tc>
          <w:tcPr>
            <w:tcW w:type="dxa" w:w="3322"/>
          </w:tcPr>
          <w:p>
            <w:pPr>
              <w:pStyle w:val="null3"/>
            </w:pPr>
            <w:r>
              <w:rPr/>
              <w:t>供应商在投标截止日前一年内，在同类营养包项目供货过程中因存在食品安全问题导致产品一级召回或二级召回的不得参与本次投标。需提供1年内在同类营养包项目供货过程中没有因食品安全问题导致产品一级召回或二级召回的书面声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须提供近3年任意一年度的财务报表或具有财务审计资质的单位出具的财务报告（至少包括资产负债 表和利润表，成立时间至提交投标文件截止时间不足一年的可提供成立后任意时段的资产负债表），或银行出具的资信证明；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提供上一年度至今已缴纳的至少一个月的纳税证明或完税证明，依法免税的单位应提供相关证明材料；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提供上一年度至今已缴存的至少一个月的有效社会保障资金缴纳证明。依法不需要缴纳社会保障资金的单位应提供相关证明材料；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无重大违法记录声明</w:t>
            </w:r>
          </w:p>
        </w:tc>
        <w:tc>
          <w:tcPr>
            <w:tcW w:type="dxa" w:w="3322"/>
          </w:tcPr>
          <w:p>
            <w:pPr>
              <w:pStyle w:val="null3"/>
            </w:pPr>
            <w:r>
              <w:rPr/>
              <w:t>供应商参加采购活动近3年内经营活动中无重大违法记录声明；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供应商信誉要求</w:t>
            </w:r>
          </w:p>
        </w:tc>
        <w:tc>
          <w:tcPr>
            <w:tcW w:type="dxa" w:w="3322"/>
          </w:tcPr>
          <w:p>
            <w:pPr>
              <w:pStyle w:val="null3"/>
            </w:pPr>
            <w:r>
              <w:rPr/>
              <w:t>“信用中国”网站（www.creditchina.gov.cn）和“中国政府采购网”（www.ccgp.gov.cn）为供应商信用信息查询渠道，如果供应商被查实在投标截止时间前已列入失信被执行人、重大税收违法案件当事人名单、政府采购严重违法失信行为记录名单中被财政部门禁止参加政府采购活动；（提供查询结果网页截图并加盖供应商公章）；</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投标函签字盖章</w:t>
            </w:r>
          </w:p>
        </w:tc>
        <w:tc>
          <w:tcPr>
            <w:tcW w:type="dxa" w:w="3322"/>
          </w:tcPr>
          <w:p>
            <w:pPr>
              <w:pStyle w:val="null3"/>
            </w:pPr>
            <w:r>
              <w:rPr/>
              <w:t>有法定代表人或其委托代理人签字并加盖单位公章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响应文件封面 标的清单 报价表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应满足磋商文件中的规定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产品技术性能</w:t>
            </w:r>
          </w:p>
        </w:tc>
        <w:tc>
          <w:tcPr>
            <w:tcW w:type="dxa" w:w="2492"/>
          </w:tcPr>
          <w:p>
            <w:pPr>
              <w:pStyle w:val="null3"/>
            </w:pPr>
            <w:r>
              <w:rPr/>
              <w:t>投标产品技术参数不能实质性满足磋商文件参数要求的将作为无效投标。投标产品技术参数满足磋商文件要求得10分； 投标产品技术参数技术指标不满足磋商文件要求，一项扣2分；扣完为止。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原材料及质量控制1</w:t>
            </w:r>
          </w:p>
        </w:tc>
        <w:tc>
          <w:tcPr>
            <w:tcW w:type="dxa" w:w="2492"/>
          </w:tcPr>
          <w:p>
            <w:pPr>
              <w:pStyle w:val="null3"/>
            </w:pPr>
            <w:r>
              <w:rPr/>
              <w:t>提供产品合法来源渠道的证明文件 (包括但不限于销售协议、代理协议、授权等) ，原材料采购渠道、采购链合法正规，证明文件齐全，有详细的采购计划计 7.1-10 分，原材料采购渠道、采购链合法正规，证明文件较齐全，采购计划较详细计 3.1-7 分，未提供或其他计 0-3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原材料及质量控制2</w:t>
            </w:r>
          </w:p>
        </w:tc>
        <w:tc>
          <w:tcPr>
            <w:tcW w:type="dxa" w:w="2492"/>
          </w:tcPr>
          <w:p>
            <w:pPr>
              <w:pStyle w:val="null3"/>
            </w:pPr>
            <w:r>
              <w:rPr/>
              <w:t>提供产品合格证、非转基因产品的检测报告或证明材料，产品符合国家标准，证明材料齐全计 7.1-10分，产品符合国家标准，证明材料较齐全计3.1-7分，未提供或其他计0-3分；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原材料及质量控制3</w:t>
            </w:r>
          </w:p>
        </w:tc>
        <w:tc>
          <w:tcPr>
            <w:tcW w:type="dxa" w:w="2492"/>
          </w:tcPr>
          <w:p>
            <w:pPr>
              <w:pStyle w:val="null3"/>
            </w:pPr>
            <w:r>
              <w:rPr/>
              <w:t>提供完善的营养包质量控制方案及制度，有完整的食品安全保护措施，确保食物质量、营养搭配及安全性。方案制度、措施完善计7.1-10分；方案制度、措施较完善计3.1-7分；未提供或其他计0-3分。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储存管理 、卫生管理方案</w:t>
            </w:r>
          </w:p>
        </w:tc>
        <w:tc>
          <w:tcPr>
            <w:tcW w:type="dxa" w:w="2492"/>
          </w:tcPr>
          <w:p>
            <w:pPr>
              <w:pStyle w:val="null3"/>
            </w:pPr>
            <w:r>
              <w:rPr/>
              <w:t>原材料及餐品保存的具体措施，且应能保障原材料及餐品新鲜、不会变质。供应商须从食品卫生、人员卫生、环境卫生、垃圾处理等方面详细阐述卫生保障措施。措施完善 计3.1-5分；措施较完善计1.1-3 分；未提供或其他计 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安全防御设施</w:t>
            </w:r>
          </w:p>
        </w:tc>
        <w:tc>
          <w:tcPr>
            <w:tcW w:type="dxa" w:w="2492"/>
          </w:tcPr>
          <w:p>
            <w:pPr>
              <w:pStyle w:val="null3"/>
            </w:pPr>
            <w:r>
              <w:rPr/>
              <w:t>生产车间、仓库（原辅料、包材和成品）有电子门禁，且厂区、仓库 、营养包生产过程有电子监控的得2分，否则不得分（提供《食品 防御计划》及相应监视器照片）；</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电子信息化食品安全追溯能力</w:t>
            </w:r>
          </w:p>
        </w:tc>
        <w:tc>
          <w:tcPr>
            <w:tcW w:type="dxa" w:w="2492"/>
          </w:tcPr>
          <w:p>
            <w:pPr>
              <w:pStyle w:val="null3"/>
            </w:pPr>
            <w:r>
              <w:rPr/>
              <w:t>供应商已经建立并运行电子信息化食品安全全程追溯体系（能够实现食品安全追溯功能，可追溯到每批次产品生产环境、设备运行、关键控制点、配方、投料、赋码、检测、储存、销售、召回 等环节），一盒一码（二维码），该码能自动读取并录入电子信息化系统的，得2分，未提供的得0分。（提供系统的具体方案实现原理及上述要求的系统进行截图、网址、临时用户名 及密码）；</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提供2021年1月1日至今同类项目业绩，每提供一份类似业绩计1分，满分3分。提供中标通知书和合同复印件；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应急预案</w:t>
            </w:r>
          </w:p>
        </w:tc>
        <w:tc>
          <w:tcPr>
            <w:tcW w:type="dxa" w:w="2492"/>
          </w:tcPr>
          <w:p>
            <w:pPr>
              <w:pStyle w:val="null3"/>
            </w:pPr>
            <w:r>
              <w:rPr/>
              <w:t>针对极端天气下的营养包配送服务应急方案或其他特殊情况，(如食品卫生突发事件、意外消防事件等) 导致营养包供应延误的处理预案。方案合理、可行性强计3.1-5分；方案较合理、可行性较强计1.1-3分；未提供或其他计 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配送方案</w:t>
            </w:r>
          </w:p>
        </w:tc>
        <w:tc>
          <w:tcPr>
            <w:tcW w:type="dxa" w:w="2492"/>
          </w:tcPr>
          <w:p>
            <w:pPr>
              <w:pStyle w:val="null3"/>
            </w:pPr>
            <w:r>
              <w:rPr/>
              <w:t>提供合理完善的配送方案，包含整体配送计划方案、流程控制及配送时间管理、质量管理、安全管理、验货标准等说明，配送方案完善、 合理、可行性高计 3.1-5分；配送方案较完善、合理、可行性较高计1.1- 3 分；未提供或其他计 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提供营养包的保鲜、安全、配送时效性及免费退换承诺,根据承诺的完整性，及时性计0-3分；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宣传推广方案</w:t>
            </w:r>
          </w:p>
        </w:tc>
        <w:tc>
          <w:tcPr>
            <w:tcW w:type="dxa" w:w="2492"/>
          </w:tcPr>
          <w:p>
            <w:pPr>
              <w:pStyle w:val="null3"/>
            </w:pPr>
            <w:r>
              <w:rPr/>
              <w:t>提供宣传推广方案，方案内容包括但不限于：宣传推广及健康教育内容、宣传推广形式、宣传资料。宣传内容、宣传形式、宣传资料的内容完整合理，具有针对性，可操作性强，计3.1-5分；宣传内容、宣传形式、宣传资料的内容较完整，计1.1-3分；未提供或其他计 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价格分采用低价优先法计算，即满足招标文件要求且投标单价之和最低的投标报价为评审基准价，其价格分为30分满分。其他投标人的价格分统一按照下列公式计算： 投标 报价得分=（评审基准价/投标报价 ) ×价格权值×100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