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版本号：241010001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陕甘边照金革命根据地旧址薛家寨革命旧址展示工程</w:t>
      </w:r>
    </w:p>
    <w:p>
      <w:pPr>
        <w:pStyle w:val="null3"/>
        <w:jc w:val="center"/>
        <w:outlineLvl w:val="2"/>
      </w:pPr>
      <w:r>
        <w:rPr>
          <w:sz w:val="28"/>
          <w:b/>
        </w:rPr>
        <w:t>采购项目编号：</w:t>
      </w:r>
      <w:r>
        <w:rPr>
          <w:sz w:val="28"/>
          <w:b/>
        </w:rPr>
        <w:t>ZRS-2024-ZC-041</w:t>
      </w:r>
      <w:r>
        <w:br/>
      </w:r>
      <w:r>
        <w:br/>
      </w:r>
      <w:r>
        <w:br/>
      </w:r>
    </w:p>
    <w:p>
      <w:pPr>
        <w:pStyle w:val="null3"/>
        <w:jc w:val="center"/>
        <w:outlineLvl w:val="2"/>
      </w:pPr>
      <w:r>
        <w:rPr>
          <w:sz w:val="28"/>
          <w:b/>
        </w:rPr>
        <w:t>照金景区管理委员会</w:t>
      </w:r>
    </w:p>
    <w:p>
      <w:pPr>
        <w:pStyle w:val="null3"/>
        <w:jc w:val="center"/>
        <w:outlineLvl w:val="2"/>
      </w:pPr>
      <w:r>
        <w:rPr>
          <w:sz w:val="28"/>
          <w:b/>
        </w:rPr>
        <w:t>陕西卓尔盛工程项目管理有限公司</w:t>
      </w:r>
      <w:r>
        <w:rPr>
          <w:sz w:val="28"/>
          <w:b/>
        </w:rPr>
        <w:t>共同编制</w:t>
      </w:r>
    </w:p>
    <w:p>
      <w:pPr>
        <w:pStyle w:val="null3"/>
        <w:jc w:val="center"/>
        <w:outlineLvl w:val="2"/>
      </w:pPr>
      <w:r>
        <w:rPr>
          <w:sz w:val="28"/>
          <w:b/>
        </w:rPr>
        <w:t>2024年10月10日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陕西卓尔盛工程项目管理有限公司</w:t>
      </w:r>
      <w:r>
        <w:rPr/>
        <w:t>（以下简称“代理机构”）受</w:t>
      </w:r>
      <w:r>
        <w:rPr/>
        <w:t>照金景区管理委员会</w:t>
      </w:r>
      <w:r>
        <w:rPr/>
        <w:t>委托，拟对</w:t>
      </w:r>
      <w:r>
        <w:rPr/>
        <w:t>陕甘边照金革命根据地旧址薛家寨革命旧址展示工程</w:t>
      </w:r>
      <w:r>
        <w:rPr/>
        <w:t>采用竞争性磋商采购方式进行采购，兹邀请供应商参加本项目的竞争性磋商。</w:t>
      </w:r>
    </w:p>
    <w:p>
      <w:pPr>
        <w:pStyle w:val="null3"/>
        <w:outlineLvl w:val="2"/>
      </w:pPr>
      <w:r>
        <w:rPr>
          <w:sz w:val="28"/>
          <w:b/>
        </w:rPr>
        <w:t>一、采购项目编号：</w:t>
      </w:r>
      <w:r>
        <w:rPr>
          <w:sz w:val="28"/>
          <w:b/>
        </w:rPr>
        <w:t>ZRS-2024-ZC-041</w:t>
      </w:r>
    </w:p>
    <w:p>
      <w:pPr>
        <w:pStyle w:val="null3"/>
        <w:outlineLvl w:val="2"/>
      </w:pPr>
      <w:r>
        <w:rPr>
          <w:sz w:val="28"/>
          <w:b/>
        </w:rPr>
        <w:t>二、采购项目名称：</w:t>
      </w:r>
      <w:r>
        <w:rPr>
          <w:sz w:val="28"/>
          <w:b/>
        </w:rPr>
        <w:t>陕甘边照金革命根据地旧址薛家寨革命旧址展示工程</w:t>
      </w:r>
    </w:p>
    <w:p>
      <w:pPr>
        <w:pStyle w:val="null3"/>
        <w:outlineLvl w:val="2"/>
      </w:pPr>
      <w:r>
        <w:rPr>
          <w:sz w:val="28"/>
          <w:b/>
        </w:rPr>
        <w:t>三、磋商项目简介</w:t>
      </w:r>
    </w:p>
    <w:p>
      <w:pPr>
        <w:pStyle w:val="null3"/>
        <w:ind w:firstLine="480"/>
      </w:pPr>
      <w:r>
        <w:rPr/>
        <w:t>1、陕甘边照金革命根据地旧址薛家寨革命旧址展示工程，工程范围为薛家寨1-4号红军寨四个寨子，四个寨子总面积约936平方米 ,预估陈列面积约为700-800平方米 。包括基础装修，艺术品、场景工程，布展，安装及多媒体工程等。</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采购包1（陕甘边照金革命根据地旧址薛家寨革命旧址展示工程）：属于专门面向中小企业采购。</w:t>
      </w:r>
    </w:p>
    <w:p>
      <w:pPr>
        <w:pStyle w:val="null3"/>
        <w:ind w:firstLine="480"/>
      </w:pPr>
      <w:r>
        <w:rPr/>
        <w:t>（三）本项目的特定资格要求：</w:t>
      </w:r>
    </w:p>
    <w:p>
      <w:pPr>
        <w:pStyle w:val="null3"/>
      </w:pPr>
      <w:r>
        <w:rPr/>
        <w:t>采购包1：</w:t>
      </w:r>
    </w:p>
    <w:p>
      <w:pPr>
        <w:pStyle w:val="null3"/>
      </w:pPr>
      <w:r>
        <w:rPr/>
        <w:t>1、具有独立承担民事责任的能力：具有独立承担民事责任能力的法人、其他组织或自然人，营业执照、组织机构代码证、税务登记证（三证合一只提供营业执照，事业单位提供事业单位法人证书，自然人应提供身份证）合法有效；</w:t>
      </w:r>
    </w:p>
    <w:p>
      <w:pPr>
        <w:pStyle w:val="null3"/>
      </w:pPr>
      <w:r>
        <w:rPr/>
        <w:t>2、企业资质：须具备建设部门颁发的建筑工程施工总承包三级（含）及以上资质或建筑装修装饰工程专业承包二级（含）及以上资质，且具有有效的安全生产许可证；</w:t>
      </w:r>
    </w:p>
    <w:p>
      <w:pPr>
        <w:pStyle w:val="null3"/>
      </w:pPr>
      <w:r>
        <w:rPr/>
        <w:t>3、法定代表人或授权代表证明：法定代表人参加磋商时，提供本人身份证；授权代表参加磋商时，提供法定代表人授权书和被授权人身份证；非法人单位参照执行；</w:t>
      </w:r>
    </w:p>
    <w:p>
      <w:pPr>
        <w:pStyle w:val="null3"/>
      </w:pPr>
      <w:r>
        <w:rPr/>
        <w:t>4、项目经理：拟委派项目经理须具有有效的建筑工程专业贰级（含）及以上注册建造师执业资格并具有有效的安全生产考核合格证（B证），在本单位注册且无在建项目；</w:t>
      </w:r>
    </w:p>
    <w:p>
      <w:pPr>
        <w:pStyle w:val="null3"/>
      </w:pPr>
      <w:r>
        <w:rPr/>
        <w:t>5、无重大违法记录的书面声明：参加政府采购活动前三年内，在经营活动中没有重大违法记录的书面声明；</w:t>
      </w:r>
    </w:p>
    <w:p>
      <w:pPr>
        <w:pStyle w:val="null3"/>
      </w:pPr>
      <w:r>
        <w:rPr/>
        <w:t>6、税收缴纳证明：提供2024年1月1日以来已缴纳任意一个月完税凭证或税务机关开具的完税证明（任意税种）；依法免税的应提供相关文件证明；</w:t>
      </w:r>
    </w:p>
    <w:p>
      <w:pPr>
        <w:pStyle w:val="null3"/>
      </w:pPr>
      <w:r>
        <w:rPr/>
        <w:t>7、社会保障资金缴纳证明：提供2024年1月1日以来已缴存的任意一个月的社会保障资金缴存证明或社保机构开具的社会保险参保缴费情况证明；依法不需要缴纳社会保障资金的应提供相关文件证明；</w:t>
      </w:r>
    </w:p>
    <w:p>
      <w:pPr>
        <w:pStyle w:val="null3"/>
      </w:pPr>
      <w:r>
        <w:rPr/>
        <w:t>8、财务状况：提供2022年度或2023年度经审计的财务会计报告（成立时间至提交响应文件截止时间不足一年的可提供成立后任意时段的资产负债表），或其开标前三个月内基本存款账户开户银行出具的资信证明，或信用担保机构出具的投标担保函。（以上三种形式的资料提供任何一种）</w:t>
      </w:r>
    </w:p>
    <w:p>
      <w:pPr>
        <w:pStyle w:val="null3"/>
      </w:pPr>
      <w:r>
        <w:rPr/>
        <w:t>9、信用查询：供应商不得为“信用中国”网站（www.creditchina.gov.cn）和中国政府采购网（www.ccgp.gov.cn）中被列入失信被执行人、重大税收违法案件当事人名单、政府采购严重违法失信行为记录名单的单位。（磋商时，代理机构将现场查询）；</w:t>
      </w:r>
    </w:p>
    <w:p>
      <w:pPr>
        <w:pStyle w:val="null3"/>
      </w:pPr>
      <w:r>
        <w:rPr/>
        <w:t>10、控股、关联关系：单位负责人为同一人或者存在控股、管理关系的不同单位不得同时参与本次磋商；为本项目提供整体设计、规范编制或者项目管理、监理、检测等服务的供应商，不得再参加该采购项目的其他采购活动。</w:t>
      </w:r>
    </w:p>
    <w:p>
      <w:pPr>
        <w:pStyle w:val="null3"/>
      </w:pPr>
      <w:r>
        <w:rPr/>
        <w:t>11、是否接受联合体磋商：本项目不接受联合体磋商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照金景区管理委员会</w:t>
      </w:r>
    </w:p>
    <w:p>
      <w:pPr>
        <w:pStyle w:val="null3"/>
      </w:pPr>
      <w:r>
        <w:rPr/>
        <w:t xml:space="preserve"> 地址： </w:t>
      </w:r>
      <w:r>
        <w:rPr/>
        <w:t>铜川市耀州区照金干部学院一楼</w:t>
      </w:r>
    </w:p>
    <w:p>
      <w:pPr>
        <w:pStyle w:val="null3"/>
      </w:pPr>
      <w:r>
        <w:rPr/>
        <w:t xml:space="preserve"> 邮编： </w:t>
      </w:r>
      <w:r>
        <w:rPr/>
        <w:t>727104</w:t>
      </w:r>
    </w:p>
    <w:p>
      <w:pPr>
        <w:pStyle w:val="null3"/>
      </w:pPr>
      <w:r>
        <w:rPr/>
        <w:t xml:space="preserve"> 联系人： </w:t>
      </w:r>
      <w:r>
        <w:rPr/>
        <w:t>王哲</w:t>
      </w:r>
    </w:p>
    <w:p>
      <w:pPr>
        <w:pStyle w:val="null3"/>
      </w:pPr>
      <w:r>
        <w:rPr/>
        <w:t xml:space="preserve"> 联系电话： </w:t>
      </w:r>
      <w:r>
        <w:rPr/>
        <w:t>0919-6931196</w:t>
      </w:r>
    </w:p>
    <w:p>
      <w:pPr>
        <w:pStyle w:val="null3"/>
        <w:outlineLvl w:val="3"/>
      </w:pPr>
      <w:r>
        <w:rPr>
          <w:sz w:val="24"/>
          <w:b/>
        </w:rPr>
        <w:t>代理机构：</w:t>
      </w:r>
      <w:r>
        <w:rPr>
          <w:sz w:val="24"/>
          <w:b/>
        </w:rPr>
        <w:t>陕西卓尔盛工程项目管理有限公司</w:t>
      </w:r>
    </w:p>
    <w:p>
      <w:pPr>
        <w:pStyle w:val="null3"/>
      </w:pPr>
      <w:r>
        <w:rPr/>
        <w:t xml:space="preserve"> 地址： </w:t>
      </w:r>
      <w:r>
        <w:rPr/>
        <w:t>陕西省西安市经济技术开发区凤城七路明丰国际10楼1006室</w:t>
      </w:r>
    </w:p>
    <w:p>
      <w:pPr>
        <w:pStyle w:val="null3"/>
      </w:pPr>
      <w:r>
        <w:rPr/>
        <w:t xml:space="preserve"> 邮编： </w:t>
      </w:r>
      <w:r>
        <w:rPr/>
        <w:t>710000</w:t>
      </w:r>
    </w:p>
    <w:p>
      <w:pPr>
        <w:pStyle w:val="null3"/>
      </w:pPr>
      <w:r>
        <w:rPr/>
        <w:t xml:space="preserve"> 联系人： </w:t>
      </w:r>
      <w:r>
        <w:rPr/>
        <w:t>张磊</w:t>
      </w:r>
    </w:p>
    <w:p>
      <w:pPr>
        <w:pStyle w:val="null3"/>
      </w:pPr>
      <w:r>
        <w:rPr/>
        <w:t xml:space="preserve"> 联系电话： </w:t>
      </w:r>
      <w:r>
        <w:rPr/>
        <w:t>17792396362</w:t>
      </w:r>
    </w:p>
    <w:p>
      <w:pPr>
        <w:pStyle w:val="null3"/>
        <w:outlineLvl w:val="3"/>
      </w:pPr>
      <w:r>
        <w:rPr>
          <w:sz w:val="24"/>
          <w:b/>
        </w:rPr>
        <w:t>采购监督机构：</w:t>
      </w:r>
      <w:r>
        <w:rPr>
          <w:sz w:val="24"/>
          <w:b/>
        </w:rPr>
        <w:t>铜川市财政局政府采购管理科</w:t>
      </w:r>
    </w:p>
    <w:p>
      <w:pPr>
        <w:pStyle w:val="null3"/>
        <w:ind w:firstLine="480"/>
      </w:pPr>
      <w:r>
        <w:rPr/>
        <w:t>联系人：</w:t>
      </w:r>
      <w:r>
        <w:rPr/>
        <w:t>徐老师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采购包1：2,102,143.00元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LED大屏、主机</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音响</w:t>
            </w:r>
            <w:r>
              <w:rPr/>
              <w:t>产品属于节能产品政府采购品目清单中应优先采购的产品范围，本项目采购</w:t>
            </w:r>
            <w:r>
              <w:rPr/>
              <w:t>视频处理器、LED大屏、主机</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国家发展和改革委员会办公厅关于招标代理服务收费有关问题的通知》（发改办价格〔2003〕857号）、发改价格【2011】534号、发改价格的【2015】299号及陕价行发【2014】88号，招标代理费用及造价咨询费根据实际成交价格据实结算</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照金景区管理委员会</w:t>
      </w:r>
      <w:r>
        <w:rPr/>
        <w:t>和</w:t>
      </w:r>
      <w:r>
        <w:rPr/>
        <w:t>陕西卓尔盛工程项目管理有限公司</w:t>
      </w:r>
      <w:r>
        <w:rPr/>
        <w:t>享有。对磋商文件中供应商参加本次政府采购活动应当具备的条件，磋商项目技术、服务、商务及其他要求，评审细则及标准由</w:t>
      </w:r>
      <w:r>
        <w:rPr/>
        <w:t>照金景区管理委员会</w:t>
      </w:r>
      <w:r>
        <w:rPr/>
        <w:t>负责解释。除上述磋商文件内容，其他内容由</w:t>
      </w:r>
      <w:r>
        <w:rPr/>
        <w:t>陕西卓尔盛工程项目管理有限公司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照金景区管理委员会</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陕西卓尔盛工程项目管理有限公司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一、执行国家建筑工程施工及验收规范标准以及材料、设备所涉及的现行国家、省、市或行业的工程建设标准、规范的要求。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 三、验收结果合格的，采购人应向成交供应商出具履约验收报告，成交供应商凭验收报告办理相关手续。 四、验收结果不合格的，给采购人造成的损失的，没有提交履约保证金的，应当对采购人的损失承担赔偿责任。</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陕西卓尔盛工程项目管理有限公司</w:t>
      </w:r>
      <w:r>
        <w:rPr/>
        <w:t xml:space="preserve"> 负责答复；供应商对采购过程的询问、质疑由</w:t>
      </w:r>
      <w:r>
        <w:rPr/>
        <w:t>陕西卓尔盛工程项目管理有限公司</w:t>
      </w:r>
      <w:r>
        <w:rPr/>
        <w:t xml:space="preserve"> 负责答复；供应商对采购结果的询问、质疑由 </w:t>
      </w:r>
      <w:r>
        <w:rPr/>
        <w:t>陕西卓尔盛工程项目管理有限公司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联系人：张磊</w:t>
      </w:r>
    </w:p>
    <w:p>
      <w:pPr>
        <w:pStyle w:val="null3"/>
      </w:pPr>
      <w:r>
        <w:rPr/>
        <w:t>联系电话：17792396362</w:t>
      </w:r>
    </w:p>
    <w:p>
      <w:pPr>
        <w:pStyle w:val="null3"/>
      </w:pPr>
      <w:r>
        <w:rPr/>
        <w:t>地址：陕西省西安市经济技术开发区凤城七路明丰国际10楼1006室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2,102,143.00</w:t>
      </w:r>
    </w:p>
    <w:p>
      <w:pPr>
        <w:pStyle w:val="null3"/>
      </w:pPr>
      <w:r>
        <w:rPr/>
        <w:t>采购包最高限价（元）: 2,102,143.00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展示工程</w:t>
            </w:r>
          </w:p>
        </w:tc>
        <w:tc>
          <w:tcPr>
            <w:tcW w:type="dxa" w:w="1384"/>
          </w:tcPr>
          <w:p>
            <w:pPr>
              <w:pStyle w:val="null3"/>
              <w:jc w:val="right"/>
            </w:pPr>
            <w:r>
              <w:rPr/>
              <w:t>1.00</w:t>
            </w:r>
          </w:p>
        </w:tc>
        <w:tc>
          <w:tcPr>
            <w:tcW w:type="dxa" w:w="1384"/>
          </w:tcPr>
          <w:p>
            <w:pPr>
              <w:pStyle w:val="null3"/>
              <w:jc w:val="right"/>
            </w:pPr>
            <w:r>
              <w:rPr/>
              <w:t>2,102,143.00</w:t>
            </w:r>
          </w:p>
        </w:tc>
        <w:tc>
          <w:tcPr>
            <w:tcW w:type="dxa" w:w="1384"/>
          </w:tcPr>
          <w:p>
            <w:pPr>
              <w:pStyle w:val="null3"/>
            </w:pPr>
            <w:r>
              <w:rPr/>
              <w:t>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标的名称：展示工程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宋体" w:hAnsi="宋体" w:cs="宋体" w:eastAsia="宋体"/>
                <w:sz w:val="24"/>
                <w:b/>
              </w:rPr>
              <w:t>一</w:t>
            </w:r>
            <w:r>
              <w:rPr>
                <w:rFonts w:ascii="宋体" w:hAnsi="宋体" w:cs="宋体" w:eastAsia="宋体"/>
              </w:rPr>
              <w:t>、采购内容</w:t>
            </w:r>
          </w:p>
          <w:p>
            <w:pPr>
              <w:pStyle w:val="null3"/>
              <w:ind w:firstLine="480"/>
              <w:jc w:val="both"/>
            </w:pPr>
            <w:r>
              <w:rPr>
                <w:rFonts w:ascii="calibri" w:hAnsi="calibri" w:cs="calibri" w:eastAsia="calibri"/>
              </w:rPr>
              <w:t>1</w:t>
            </w:r>
            <w:r>
              <w:rPr>
                <w:rFonts w:ascii="宋体" w:hAnsi="宋体" w:cs="宋体" w:eastAsia="宋体"/>
              </w:rPr>
              <w:t>、项目名称：</w:t>
            </w:r>
            <w:r>
              <w:rPr>
                <w:rFonts w:ascii="宋体" w:hAnsi="宋体" w:cs="宋体" w:eastAsia="宋体"/>
              </w:rPr>
              <w:t>陕甘边照金革命根据地旧址薛家寨革命旧址展示工程</w:t>
            </w:r>
          </w:p>
          <w:p>
            <w:pPr>
              <w:pStyle w:val="null3"/>
              <w:ind w:firstLine="480"/>
              <w:jc w:val="both"/>
            </w:pPr>
            <w:r>
              <w:rPr>
                <w:rFonts w:ascii="calibri" w:hAnsi="calibri" w:cs="calibri" w:eastAsia="calibri"/>
              </w:rPr>
              <w:t>2</w:t>
            </w:r>
            <w:r>
              <w:rPr>
                <w:rFonts w:ascii="宋体" w:hAnsi="宋体" w:cs="宋体" w:eastAsia="宋体"/>
              </w:rPr>
              <w:t>、工期：</w:t>
            </w:r>
            <w:r>
              <w:rPr>
                <w:rFonts w:ascii="宋体" w:hAnsi="宋体" w:cs="宋体" w:eastAsia="宋体"/>
              </w:rPr>
              <w:t>签订合同后</w:t>
            </w:r>
            <w:r>
              <w:rPr>
                <w:rFonts w:ascii="calibri" w:hAnsi="calibri" w:cs="calibri" w:eastAsia="calibri"/>
              </w:rPr>
              <w:t>60</w:t>
            </w:r>
            <w:r>
              <w:rPr>
                <w:rFonts w:ascii="宋体" w:hAnsi="宋体" w:cs="宋体" w:eastAsia="宋体"/>
              </w:rPr>
              <w:t>天内完工</w:t>
            </w:r>
          </w:p>
          <w:p>
            <w:pPr>
              <w:pStyle w:val="null3"/>
              <w:ind w:firstLine="480"/>
              <w:jc w:val="both"/>
            </w:pPr>
            <w:r>
              <w:rPr>
                <w:rFonts w:ascii="calibri" w:hAnsi="calibri" w:cs="calibri" w:eastAsia="calibri"/>
              </w:rPr>
              <w:t>3</w:t>
            </w:r>
            <w:r>
              <w:rPr>
                <w:rFonts w:ascii="宋体" w:hAnsi="宋体" w:cs="宋体" w:eastAsia="宋体"/>
              </w:rPr>
              <w:t>、施工地点：采购人指定地点</w:t>
            </w:r>
          </w:p>
          <w:p>
            <w:pPr>
              <w:pStyle w:val="null3"/>
              <w:ind w:firstLine="480"/>
              <w:jc w:val="both"/>
            </w:pPr>
            <w:r>
              <w:rPr>
                <w:rFonts w:ascii="calibri" w:hAnsi="calibri" w:cs="calibri" w:eastAsia="calibri"/>
              </w:rPr>
              <w:t>4</w:t>
            </w:r>
            <w:r>
              <w:rPr>
                <w:rFonts w:ascii="宋体" w:hAnsi="宋体" w:cs="宋体" w:eastAsia="宋体"/>
              </w:rPr>
              <w:t>、质量要求：达到现行施工验收规范合格标准。</w:t>
            </w:r>
          </w:p>
          <w:p>
            <w:pPr>
              <w:pStyle w:val="null3"/>
              <w:ind w:firstLine="480"/>
              <w:jc w:val="both"/>
            </w:pPr>
            <w:r>
              <w:rPr>
                <w:rFonts w:ascii="calibri" w:hAnsi="calibri" w:cs="calibri" w:eastAsia="calibri"/>
              </w:rPr>
              <w:t>5</w:t>
            </w:r>
            <w:r>
              <w:rPr>
                <w:rFonts w:ascii="宋体" w:hAnsi="宋体" w:cs="宋体" w:eastAsia="宋体"/>
              </w:rPr>
              <w:t>、付款方式：</w:t>
            </w:r>
          </w:p>
          <w:p>
            <w:pPr>
              <w:pStyle w:val="null3"/>
              <w:ind w:firstLine="480"/>
              <w:jc w:val="both"/>
            </w:pPr>
            <w:r>
              <w:rPr>
                <w:rFonts w:ascii="calibri" w:hAnsi="calibri" w:cs="calibri" w:eastAsia="calibri"/>
              </w:rPr>
              <w:t>(1)</w:t>
            </w:r>
            <w:r>
              <w:rPr>
                <w:rFonts w:ascii="宋体" w:hAnsi="宋体" w:cs="宋体" w:eastAsia="宋体"/>
              </w:rPr>
              <w:t>合同签订后</w:t>
            </w:r>
            <w:r>
              <w:rPr>
                <w:rFonts w:ascii="calibri" w:hAnsi="calibri" w:cs="calibri" w:eastAsia="calibri"/>
              </w:rPr>
              <w:t>10</w:t>
            </w:r>
            <w:r>
              <w:rPr>
                <w:rFonts w:ascii="宋体" w:hAnsi="宋体" w:cs="宋体" w:eastAsia="宋体"/>
              </w:rPr>
              <w:t xml:space="preserve">日内支付合同总价款的 </w:t>
            </w:r>
            <w:r>
              <w:rPr>
                <w:rFonts w:ascii="calibri" w:hAnsi="calibri" w:cs="calibri" w:eastAsia="calibri"/>
              </w:rPr>
              <w:t>4</w:t>
            </w:r>
            <w:r>
              <w:rPr>
                <w:rFonts w:ascii="calibri" w:hAnsi="calibri" w:cs="calibri" w:eastAsia="calibri"/>
              </w:rPr>
              <w:t>0%</w:t>
            </w:r>
            <w:r>
              <w:rPr>
                <w:rFonts w:ascii="宋体" w:hAnsi="宋体" w:cs="宋体" w:eastAsia="宋体"/>
              </w:rPr>
              <w:t>为预付款</w:t>
            </w:r>
            <w:r>
              <w:rPr>
                <w:rFonts w:ascii="calibri" w:hAnsi="calibri" w:cs="calibri" w:eastAsia="calibri"/>
              </w:rPr>
              <w:t>；</w:t>
            </w:r>
          </w:p>
          <w:p>
            <w:pPr>
              <w:pStyle w:val="null3"/>
              <w:ind w:firstLine="480"/>
              <w:jc w:val="both"/>
            </w:pPr>
            <w:r>
              <w:rPr>
                <w:rFonts w:ascii="calibri" w:hAnsi="calibri" w:cs="calibri" w:eastAsia="calibri"/>
              </w:rPr>
              <w:t>(2)</w:t>
            </w:r>
            <w:r>
              <w:rPr>
                <w:rFonts w:ascii="宋体" w:hAnsi="宋体" w:cs="宋体" w:eastAsia="宋体"/>
              </w:rPr>
              <w:t>主要设备进场后</w:t>
            </w:r>
            <w:r>
              <w:rPr>
                <w:rFonts w:ascii="calibri" w:hAnsi="calibri" w:cs="calibri" w:eastAsia="calibri"/>
              </w:rPr>
              <w:t>10</w:t>
            </w:r>
            <w:r>
              <w:rPr>
                <w:rFonts w:ascii="宋体" w:hAnsi="宋体" w:cs="宋体" w:eastAsia="宋体"/>
              </w:rPr>
              <w:t>日内支付合同总价款的</w:t>
            </w:r>
            <w:r>
              <w:rPr>
                <w:rFonts w:ascii="calibri" w:hAnsi="calibri" w:cs="calibri" w:eastAsia="calibri"/>
              </w:rPr>
              <w:t>1</w:t>
            </w:r>
            <w:r>
              <w:rPr>
                <w:rFonts w:ascii="calibri" w:hAnsi="calibri" w:cs="calibri" w:eastAsia="calibri"/>
              </w:rPr>
              <w:t>0%;</w:t>
            </w:r>
          </w:p>
          <w:p>
            <w:pPr>
              <w:pStyle w:val="null3"/>
              <w:ind w:firstLine="480"/>
              <w:jc w:val="both"/>
            </w:pPr>
            <w:r>
              <w:rPr>
                <w:rFonts w:ascii="calibri" w:hAnsi="calibri" w:cs="calibri" w:eastAsia="calibri"/>
              </w:rPr>
              <w:t>(3)</w:t>
            </w:r>
            <w:r>
              <w:rPr>
                <w:rFonts w:ascii="宋体" w:hAnsi="宋体" w:cs="宋体" w:eastAsia="宋体"/>
              </w:rPr>
              <w:t>项目完工</w:t>
            </w:r>
            <w:r>
              <w:rPr>
                <w:rFonts w:ascii="calibri" w:hAnsi="calibri" w:cs="calibri" w:eastAsia="calibri"/>
              </w:rPr>
              <w:t>,</w:t>
            </w:r>
            <w:r>
              <w:rPr>
                <w:rFonts w:ascii="宋体" w:hAnsi="宋体" w:cs="宋体" w:eastAsia="宋体"/>
              </w:rPr>
              <w:t>甲方收到并确认乙方自检报告后</w:t>
            </w:r>
            <w:r>
              <w:rPr>
                <w:rFonts w:ascii="calibri" w:hAnsi="calibri" w:cs="calibri" w:eastAsia="calibri"/>
              </w:rPr>
              <w:t>15</w:t>
            </w:r>
            <w:r>
              <w:rPr>
                <w:rFonts w:ascii="宋体" w:hAnsi="宋体" w:cs="宋体" w:eastAsia="宋体"/>
              </w:rPr>
              <w:t xml:space="preserve">日内支付合同总价款的 </w:t>
            </w:r>
            <w:r>
              <w:rPr>
                <w:rFonts w:ascii="calibri" w:hAnsi="calibri" w:cs="calibri" w:eastAsia="calibri"/>
              </w:rPr>
              <w:t>30%;</w:t>
            </w:r>
          </w:p>
          <w:p>
            <w:pPr>
              <w:pStyle w:val="null3"/>
              <w:ind w:firstLine="480"/>
              <w:jc w:val="both"/>
            </w:pPr>
            <w:r>
              <w:rPr>
                <w:rFonts w:ascii="calibri" w:hAnsi="calibri" w:cs="calibri" w:eastAsia="calibri"/>
              </w:rPr>
              <w:t>(4)</w:t>
            </w:r>
            <w:r>
              <w:rPr>
                <w:rFonts w:ascii="宋体" w:hAnsi="宋体" w:cs="宋体" w:eastAsia="宋体"/>
              </w:rPr>
              <w:t>工程竣工、竣工资料交付采购人，项目验收合格后</w:t>
            </w:r>
            <w:r>
              <w:rPr>
                <w:rFonts w:ascii="calibri" w:hAnsi="calibri" w:cs="calibri" w:eastAsia="calibri"/>
              </w:rPr>
              <w:t>10</w:t>
            </w:r>
            <w:r>
              <w:rPr>
                <w:rFonts w:ascii="宋体" w:hAnsi="宋体" w:cs="宋体" w:eastAsia="宋体"/>
              </w:rPr>
              <w:t>日内支付至合同总价款的</w:t>
            </w:r>
            <w:r>
              <w:rPr>
                <w:rFonts w:ascii="calibri" w:hAnsi="calibri" w:cs="calibri" w:eastAsia="calibri"/>
              </w:rPr>
              <w:t>95%</w:t>
            </w:r>
            <w:r>
              <w:rPr>
                <w:rFonts w:ascii="宋体" w:hAnsi="宋体" w:cs="宋体" w:eastAsia="宋体"/>
              </w:rPr>
              <w:t>后暂停支付</w:t>
            </w:r>
            <w:r>
              <w:rPr>
                <w:rFonts w:ascii="calibri" w:hAnsi="calibri" w:cs="calibri" w:eastAsia="calibri"/>
              </w:rPr>
              <w:t>;</w:t>
            </w:r>
          </w:p>
          <w:p>
            <w:pPr>
              <w:pStyle w:val="null3"/>
              <w:ind w:firstLine="480"/>
              <w:jc w:val="both"/>
            </w:pPr>
            <w:r>
              <w:rPr>
                <w:rFonts w:ascii="calibri" w:hAnsi="calibri" w:cs="calibri" w:eastAsia="calibri"/>
              </w:rPr>
              <w:t>(5)</w:t>
            </w:r>
            <w:r>
              <w:rPr>
                <w:rFonts w:ascii="宋体" w:hAnsi="宋体" w:cs="宋体" w:eastAsia="宋体"/>
              </w:rPr>
              <w:t>项目结算审核完成后</w:t>
            </w:r>
            <w:r>
              <w:rPr>
                <w:rFonts w:ascii="calibri" w:hAnsi="calibri" w:cs="calibri" w:eastAsia="calibri"/>
              </w:rPr>
              <w:t>10</w:t>
            </w:r>
            <w:r>
              <w:rPr>
                <w:rFonts w:ascii="宋体" w:hAnsi="宋体" w:cs="宋体" w:eastAsia="宋体"/>
              </w:rPr>
              <w:t>日内根据审核结果支付剩余价款。</w:t>
            </w:r>
          </w:p>
          <w:p>
            <w:pPr>
              <w:pStyle w:val="null3"/>
              <w:ind w:firstLine="480"/>
              <w:jc w:val="both"/>
            </w:pPr>
            <w:r>
              <w:rPr>
                <w:rFonts w:ascii="calibri" w:hAnsi="calibri" w:cs="calibri" w:eastAsia="calibri"/>
              </w:rPr>
              <w:t>6</w:t>
            </w:r>
            <w:r>
              <w:rPr>
                <w:rFonts w:ascii="宋体" w:hAnsi="宋体" w:cs="宋体" w:eastAsia="宋体"/>
              </w:rPr>
              <w:t>、保修</w:t>
            </w:r>
          </w:p>
          <w:p>
            <w:pPr>
              <w:pStyle w:val="null3"/>
              <w:ind w:firstLine="480"/>
              <w:jc w:val="both"/>
            </w:pPr>
            <w:r>
              <w:rPr>
                <w:rFonts w:ascii="calibri" w:hAnsi="calibri" w:cs="calibri" w:eastAsia="calibri"/>
              </w:rPr>
              <w:t>6.1</w:t>
            </w:r>
            <w:r>
              <w:rPr>
                <w:rFonts w:ascii="宋体" w:hAnsi="宋体" w:cs="宋体" w:eastAsia="宋体"/>
              </w:rPr>
              <w:t>保修责任</w:t>
            </w:r>
          </w:p>
          <w:p>
            <w:pPr>
              <w:pStyle w:val="null3"/>
              <w:ind w:firstLine="480"/>
              <w:jc w:val="both"/>
            </w:pPr>
            <w:r>
              <w:rPr>
                <w:rFonts w:ascii="宋体" w:hAnsi="宋体" w:cs="宋体" w:eastAsia="宋体"/>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pPr>
              <w:pStyle w:val="null3"/>
              <w:ind w:firstLine="480"/>
              <w:jc w:val="both"/>
            </w:pPr>
            <w:r>
              <w:rPr>
                <w:rFonts w:ascii="宋体" w:hAnsi="宋体" w:cs="宋体" w:eastAsia="宋体"/>
              </w:rPr>
              <w:t>发包人未经竣工验收擅自使用工程的，保修期自转移占有之日起算。</w:t>
            </w:r>
          </w:p>
          <w:p>
            <w:pPr>
              <w:pStyle w:val="null3"/>
              <w:ind w:firstLine="480"/>
              <w:jc w:val="both"/>
            </w:pPr>
            <w:r>
              <w:rPr>
                <w:rFonts w:ascii="calibri" w:hAnsi="calibri" w:cs="calibri" w:eastAsia="calibri"/>
              </w:rPr>
              <w:t xml:space="preserve">6.2 </w:t>
            </w:r>
            <w:r>
              <w:rPr>
                <w:rFonts w:ascii="宋体" w:hAnsi="宋体" w:cs="宋体" w:eastAsia="宋体"/>
              </w:rPr>
              <w:t>修复费用</w:t>
            </w:r>
          </w:p>
          <w:p>
            <w:pPr>
              <w:pStyle w:val="null3"/>
              <w:ind w:firstLine="480"/>
              <w:jc w:val="both"/>
            </w:pPr>
            <w:r>
              <w:rPr>
                <w:rFonts w:ascii="宋体" w:hAnsi="宋体" w:cs="宋体" w:eastAsia="宋体"/>
              </w:rPr>
              <w:t>保修期内，修复的费用按照以下约定处理：</w:t>
            </w:r>
          </w:p>
          <w:p>
            <w:pPr>
              <w:pStyle w:val="null3"/>
              <w:ind w:firstLine="480"/>
              <w:jc w:val="both"/>
            </w:pPr>
            <w:r>
              <w:rPr>
                <w:rFonts w:ascii="宋体" w:hAnsi="宋体" w:cs="宋体" w:eastAsia="宋体"/>
              </w:rPr>
              <w:t>（</w:t>
            </w:r>
            <w:r>
              <w:rPr>
                <w:rFonts w:ascii="calibri" w:hAnsi="calibri" w:cs="calibri" w:eastAsia="calibri"/>
              </w:rPr>
              <w:t>1</w:t>
            </w:r>
            <w:r>
              <w:rPr>
                <w:rFonts w:ascii="宋体" w:hAnsi="宋体" w:cs="宋体" w:eastAsia="宋体"/>
              </w:rPr>
              <w:t>）保修期内，因承包人原因造成工程的缺陷、损坏，承包人应负责修复，并承担修复的费用以及因工程的缺陷、损坏造成的人身伤害和财产损失；</w:t>
            </w:r>
          </w:p>
          <w:p>
            <w:pPr>
              <w:pStyle w:val="null3"/>
              <w:ind w:firstLine="480"/>
              <w:jc w:val="both"/>
            </w:pPr>
            <w:r>
              <w:rPr>
                <w:rFonts w:ascii="宋体" w:hAnsi="宋体" w:cs="宋体" w:eastAsia="宋体"/>
              </w:rPr>
              <w:t>（</w:t>
            </w:r>
            <w:r>
              <w:rPr>
                <w:rFonts w:ascii="calibri" w:hAnsi="calibri" w:cs="calibri" w:eastAsia="calibri"/>
              </w:rPr>
              <w:t>2</w:t>
            </w:r>
            <w:r>
              <w:rPr>
                <w:rFonts w:ascii="宋体" w:hAnsi="宋体" w:cs="宋体" w:eastAsia="宋体"/>
              </w:rPr>
              <w:t>）保修期内，因发包人使用不当造成工程的缺陷、损坏，可以委托承包人修复，但发包人应承担修复的费用，并支付承包人合理利润；</w:t>
            </w:r>
          </w:p>
          <w:p>
            <w:pPr>
              <w:pStyle w:val="null3"/>
              <w:ind w:firstLine="480"/>
              <w:jc w:val="both"/>
            </w:pPr>
            <w:r>
              <w:rPr>
                <w:rFonts w:ascii="宋体" w:hAnsi="宋体" w:cs="宋体" w:eastAsia="宋体"/>
              </w:rPr>
              <w:t>（</w:t>
            </w:r>
            <w:r>
              <w:rPr>
                <w:rFonts w:ascii="calibri" w:hAnsi="calibri" w:cs="calibri" w:eastAsia="calibri"/>
              </w:rPr>
              <w:t>3</w:t>
            </w:r>
            <w:r>
              <w:rPr>
                <w:rFonts w:ascii="宋体" w:hAnsi="宋体" w:cs="宋体" w:eastAsia="宋体"/>
              </w:rPr>
              <w:t>）因其他原因造成工程的缺陷、损坏，可以委托承包人修复，发包人应承担修复的费用，并支付承包人合理的利润，因工程的缺陷、损坏造成的人身伤害和财产损失由责任方承担。</w:t>
            </w:r>
          </w:p>
          <w:p>
            <w:pPr>
              <w:pStyle w:val="null3"/>
              <w:ind w:firstLine="480"/>
              <w:jc w:val="both"/>
            </w:pPr>
            <w:r>
              <w:rPr>
                <w:rFonts w:ascii="calibri" w:hAnsi="calibri" w:cs="calibri" w:eastAsia="calibri"/>
              </w:rPr>
              <w:t xml:space="preserve">6.3 </w:t>
            </w:r>
            <w:r>
              <w:rPr>
                <w:rFonts w:ascii="宋体" w:hAnsi="宋体" w:cs="宋体" w:eastAsia="宋体"/>
              </w:rPr>
              <w:t>修复通知</w:t>
            </w:r>
          </w:p>
          <w:p>
            <w:pPr>
              <w:pStyle w:val="null3"/>
              <w:ind w:firstLine="480"/>
              <w:jc w:val="both"/>
            </w:pPr>
            <w:r>
              <w:rPr>
                <w:rFonts w:ascii="宋体" w:hAnsi="宋体" w:cs="宋体" w:eastAsia="宋体"/>
              </w:rPr>
              <w:t>在保修期内，发包人在使用过程中，发现已接收的工程存在缺陷或损坏的，应书面通知承包人予以修复，但情况紧急必须立即修复缺陷或损坏的，发包人可以口头通知承包人并在口头通知后</w:t>
            </w:r>
            <w:r>
              <w:rPr>
                <w:rFonts w:ascii="calibri" w:hAnsi="calibri" w:cs="calibri" w:eastAsia="calibri"/>
              </w:rPr>
              <w:t>48</w:t>
            </w:r>
            <w:r>
              <w:rPr>
                <w:rFonts w:ascii="宋体" w:hAnsi="宋体" w:cs="宋体" w:eastAsia="宋体"/>
              </w:rPr>
              <w:t>小时内书面确认，承包人应在专用合同条款约定的合理期限内到达工程现场并修复缺陷或损坏。</w:t>
            </w:r>
          </w:p>
          <w:p>
            <w:pPr>
              <w:pStyle w:val="null3"/>
              <w:ind w:firstLine="480"/>
              <w:jc w:val="both"/>
            </w:pPr>
            <w:r>
              <w:rPr>
                <w:rFonts w:ascii="calibri" w:hAnsi="calibri" w:cs="calibri" w:eastAsia="calibri"/>
              </w:rPr>
              <w:t xml:space="preserve">6.4 </w:t>
            </w:r>
            <w:r>
              <w:rPr>
                <w:rFonts w:ascii="宋体" w:hAnsi="宋体" w:cs="宋体" w:eastAsia="宋体"/>
              </w:rPr>
              <w:t>未能修复</w:t>
            </w:r>
          </w:p>
          <w:p>
            <w:pPr>
              <w:pStyle w:val="null3"/>
              <w:ind w:firstLine="480"/>
              <w:jc w:val="both"/>
            </w:pPr>
            <w:r>
              <w:rPr>
                <w:rFonts w:ascii="宋体" w:hAnsi="宋体" w:cs="宋体" w:eastAsia="宋体"/>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pPr>
              <w:pStyle w:val="null3"/>
              <w:ind w:firstLine="480"/>
              <w:jc w:val="both"/>
            </w:pPr>
            <w:r>
              <w:rPr>
                <w:rFonts w:ascii="calibri" w:hAnsi="calibri" w:cs="calibri" w:eastAsia="calibri"/>
              </w:rPr>
              <w:t xml:space="preserve">6.5 </w:t>
            </w:r>
            <w:r>
              <w:rPr>
                <w:rFonts w:ascii="宋体" w:hAnsi="宋体" w:cs="宋体" w:eastAsia="宋体"/>
              </w:rPr>
              <w:t>承包人出入权</w:t>
            </w:r>
          </w:p>
          <w:p>
            <w:pPr>
              <w:pStyle w:val="null3"/>
              <w:ind w:firstLine="480"/>
              <w:jc w:val="both"/>
            </w:pPr>
            <w:r>
              <w:rPr>
                <w:rFonts w:ascii="宋体" w:hAnsi="宋体" w:cs="宋体" w:eastAsia="宋体"/>
              </w:rPr>
              <w:t>在保修期内，为了修复缺陷或损坏，承包人有权出入工程现场，除情况紧急必须立即修复缺陷或损坏外，承包人应提前</w:t>
            </w:r>
            <w:r>
              <w:rPr>
                <w:rFonts w:ascii="calibri" w:hAnsi="calibri" w:cs="calibri" w:eastAsia="calibri"/>
              </w:rPr>
              <w:t>24</w:t>
            </w:r>
            <w:r>
              <w:rPr>
                <w:rFonts w:ascii="宋体" w:hAnsi="宋体" w:cs="宋体" w:eastAsia="宋体"/>
              </w:rPr>
              <w:t>小时通知发包人进场修复的时间。承包人进入工程现场前应获得发包人同意，且不应影响发包人正常的生产经营，并应遵守发包人有关保安和保密等规定。</w:t>
            </w:r>
          </w:p>
          <w:p>
            <w:pPr>
              <w:pStyle w:val="null3"/>
              <w:ind w:firstLine="480"/>
              <w:jc w:val="both"/>
            </w:pPr>
            <w:r>
              <w:rPr>
                <w:rFonts w:ascii="calibri" w:hAnsi="calibri" w:cs="calibri" w:eastAsia="calibri"/>
              </w:rPr>
              <w:t>6.6</w:t>
            </w:r>
            <w:r>
              <w:rPr>
                <w:rFonts w:ascii="宋体" w:hAnsi="宋体" w:cs="宋体" w:eastAsia="宋体"/>
              </w:rPr>
              <w:t>、根据《建设工程质量管理条例》及有关规定，工程的质量保修期如下：</w:t>
            </w:r>
          </w:p>
          <w:p>
            <w:pPr>
              <w:pStyle w:val="null3"/>
              <w:ind w:firstLine="480"/>
              <w:jc w:val="both"/>
            </w:pPr>
            <w:r>
              <w:rPr>
                <w:rFonts w:ascii="宋体" w:hAnsi="宋体" w:cs="宋体" w:eastAsia="宋体"/>
              </w:rPr>
              <w:t>（</w:t>
            </w:r>
            <w:r>
              <w:rPr>
                <w:rFonts w:ascii="calibri" w:hAnsi="calibri" w:cs="calibri" w:eastAsia="calibri"/>
              </w:rPr>
              <w:t>1</w:t>
            </w:r>
            <w:r>
              <w:rPr>
                <w:rFonts w:ascii="宋体" w:hAnsi="宋体" w:cs="宋体" w:eastAsia="宋体"/>
              </w:rPr>
              <w:t>）地基基础工程和主体结构工程为设计文件规定的工程合理使用年限；</w:t>
            </w:r>
          </w:p>
          <w:p>
            <w:pPr>
              <w:pStyle w:val="null3"/>
              <w:ind w:firstLine="480"/>
              <w:jc w:val="both"/>
            </w:pPr>
            <w:r>
              <w:rPr>
                <w:rFonts w:ascii="宋体" w:hAnsi="宋体" w:cs="宋体" w:eastAsia="宋体"/>
              </w:rPr>
              <w:t>（</w:t>
            </w:r>
            <w:r>
              <w:rPr>
                <w:rFonts w:ascii="calibri" w:hAnsi="calibri" w:cs="calibri" w:eastAsia="calibri"/>
              </w:rPr>
              <w:t>2</w:t>
            </w:r>
            <w:r>
              <w:rPr>
                <w:rFonts w:ascii="宋体" w:hAnsi="宋体" w:cs="宋体" w:eastAsia="宋体"/>
              </w:rPr>
              <w:t>）屋面防水工程、有防水要求的卫生间、房间和外墙面的防渗为</w:t>
            </w:r>
            <w:r>
              <w:rPr>
                <w:rFonts w:ascii="calibri" w:hAnsi="calibri" w:cs="calibri" w:eastAsia="calibri"/>
              </w:rPr>
              <w:t>5</w:t>
            </w:r>
            <w:r>
              <w:rPr>
                <w:rFonts w:ascii="宋体" w:hAnsi="宋体" w:cs="宋体" w:eastAsia="宋体"/>
              </w:rPr>
              <w:t>年；</w:t>
            </w:r>
          </w:p>
          <w:p>
            <w:pPr>
              <w:pStyle w:val="null3"/>
              <w:ind w:firstLine="480"/>
              <w:jc w:val="both"/>
            </w:pPr>
            <w:r>
              <w:rPr>
                <w:rFonts w:ascii="宋体" w:hAnsi="宋体" w:cs="宋体" w:eastAsia="宋体"/>
              </w:rPr>
              <w:t>（</w:t>
            </w:r>
            <w:r>
              <w:rPr>
                <w:rFonts w:ascii="calibri" w:hAnsi="calibri" w:cs="calibri" w:eastAsia="calibri"/>
              </w:rPr>
              <w:t>3</w:t>
            </w:r>
            <w:r>
              <w:rPr>
                <w:rFonts w:ascii="宋体" w:hAnsi="宋体" w:cs="宋体" w:eastAsia="宋体"/>
              </w:rPr>
              <w:t>）装修工程为</w:t>
            </w:r>
            <w:r>
              <w:rPr>
                <w:rFonts w:ascii="calibri" w:hAnsi="calibri" w:cs="calibri" w:eastAsia="calibri"/>
              </w:rPr>
              <w:t>2</w:t>
            </w:r>
            <w:r>
              <w:rPr>
                <w:rFonts w:ascii="宋体" w:hAnsi="宋体" w:cs="宋体" w:eastAsia="宋体"/>
              </w:rPr>
              <w:t>年；</w:t>
            </w:r>
          </w:p>
          <w:p>
            <w:pPr>
              <w:pStyle w:val="null3"/>
              <w:ind w:firstLine="480"/>
              <w:jc w:val="both"/>
            </w:pPr>
            <w:r>
              <w:rPr>
                <w:rFonts w:ascii="宋体" w:hAnsi="宋体" w:cs="宋体" w:eastAsia="宋体"/>
              </w:rPr>
              <w:t>（</w:t>
            </w:r>
            <w:r>
              <w:rPr>
                <w:rFonts w:ascii="calibri" w:hAnsi="calibri" w:cs="calibri" w:eastAsia="calibri"/>
              </w:rPr>
              <w:t>4</w:t>
            </w:r>
            <w:r>
              <w:rPr>
                <w:rFonts w:ascii="宋体" w:hAnsi="宋体" w:cs="宋体" w:eastAsia="宋体"/>
              </w:rPr>
              <w:t>）电气管线、给排水管道、设备安装工程为</w:t>
            </w:r>
            <w:r>
              <w:rPr>
                <w:rFonts w:ascii="calibri" w:hAnsi="calibri" w:cs="calibri" w:eastAsia="calibri"/>
              </w:rPr>
              <w:t>2</w:t>
            </w:r>
            <w:r>
              <w:rPr>
                <w:rFonts w:ascii="宋体" w:hAnsi="宋体" w:cs="宋体" w:eastAsia="宋体"/>
              </w:rPr>
              <w:t>年；</w:t>
            </w:r>
          </w:p>
          <w:p>
            <w:pPr>
              <w:pStyle w:val="null3"/>
              <w:ind w:firstLine="480"/>
              <w:jc w:val="both"/>
            </w:pPr>
            <w:r>
              <w:rPr>
                <w:rFonts w:ascii="宋体" w:hAnsi="宋体" w:cs="宋体" w:eastAsia="宋体"/>
              </w:rPr>
              <w:t>（</w:t>
            </w:r>
            <w:r>
              <w:rPr>
                <w:rFonts w:ascii="calibri" w:hAnsi="calibri" w:cs="calibri" w:eastAsia="calibri"/>
              </w:rPr>
              <w:t>5</w:t>
            </w:r>
            <w:r>
              <w:rPr>
                <w:rFonts w:ascii="宋体" w:hAnsi="宋体" w:cs="宋体" w:eastAsia="宋体"/>
              </w:rPr>
              <w:t>）市政基础设施道路等配套工程为</w:t>
            </w:r>
            <w:r>
              <w:rPr>
                <w:rFonts w:ascii="calibri" w:hAnsi="calibri" w:cs="calibri" w:eastAsia="calibri"/>
              </w:rPr>
              <w:t>2</w:t>
            </w:r>
            <w:r>
              <w:rPr>
                <w:rFonts w:ascii="宋体" w:hAnsi="宋体" w:cs="宋体" w:eastAsia="宋体"/>
              </w:rPr>
              <w:t>年；</w:t>
            </w:r>
          </w:p>
          <w:p>
            <w:pPr>
              <w:pStyle w:val="null3"/>
              <w:ind w:firstLine="480"/>
              <w:jc w:val="both"/>
            </w:pPr>
            <w:r>
              <w:rPr>
                <w:rFonts w:ascii="宋体" w:hAnsi="宋体" w:cs="宋体" w:eastAsia="宋体"/>
              </w:rPr>
              <w:t>（</w:t>
            </w:r>
            <w:r>
              <w:rPr>
                <w:rFonts w:ascii="calibri" w:hAnsi="calibri" w:cs="calibri" w:eastAsia="calibri"/>
              </w:rPr>
              <w:t>6</w:t>
            </w:r>
            <w:r>
              <w:rPr>
                <w:rFonts w:ascii="宋体" w:hAnsi="宋体" w:cs="宋体" w:eastAsia="宋体"/>
              </w:rPr>
              <w:t>）其他项目保修期限约定如下：按照第</w:t>
            </w:r>
            <w:r>
              <w:rPr>
                <w:rFonts w:ascii="calibri" w:hAnsi="calibri" w:cs="calibri" w:eastAsia="calibri"/>
              </w:rPr>
              <w:t>279</w:t>
            </w:r>
            <w:r>
              <w:rPr>
                <w:rFonts w:ascii="宋体" w:hAnsi="宋体" w:cs="宋体" w:eastAsia="宋体"/>
              </w:rPr>
              <w:t>号令《建设工程质量管理条例》相关规定执行。</w:t>
            </w:r>
          </w:p>
          <w:p>
            <w:pPr>
              <w:pStyle w:val="null3"/>
              <w:ind w:firstLine="480"/>
              <w:jc w:val="both"/>
            </w:pPr>
            <w:r>
              <w:rPr>
                <w:rFonts w:ascii="calibri" w:hAnsi="calibri" w:cs="calibri" w:eastAsia="calibri"/>
              </w:rPr>
              <w:t>7</w:t>
            </w:r>
            <w:r>
              <w:rPr>
                <w:rFonts w:ascii="宋体" w:hAnsi="宋体" w:cs="宋体" w:eastAsia="宋体"/>
              </w:rPr>
              <w:t>、缺陷责任期</w:t>
            </w:r>
          </w:p>
          <w:p>
            <w:pPr>
              <w:pStyle w:val="null3"/>
              <w:ind w:firstLine="480"/>
              <w:jc w:val="both"/>
            </w:pPr>
            <w:r>
              <w:rPr>
                <w:rFonts w:ascii="宋体" w:hAnsi="宋体" w:cs="宋体" w:eastAsia="宋体"/>
              </w:rPr>
              <w:t>工程缺陷责任期为</w:t>
            </w:r>
            <w:r>
              <w:rPr>
                <w:rFonts w:ascii="calibri" w:hAnsi="calibri" w:cs="calibri" w:eastAsia="calibri"/>
              </w:rPr>
              <w:t>24</w:t>
            </w:r>
            <w:r>
              <w:rPr>
                <w:rFonts w:ascii="宋体" w:hAnsi="宋体" w:cs="宋体" w:eastAsia="宋体"/>
              </w:rPr>
              <w:t>个月，缺陷责任期自工程实际竣工之日起计算。单位工程先于全部工程进行验收，单位工程缺陷责任期自单位工程验收合格之日起算。</w:t>
            </w:r>
          </w:p>
          <w:p>
            <w:pPr>
              <w:pStyle w:val="null3"/>
              <w:ind w:firstLine="480"/>
              <w:jc w:val="both"/>
            </w:pPr>
            <w:r>
              <w:rPr>
                <w:rFonts w:ascii="宋体" w:hAnsi="宋体" w:cs="宋体" w:eastAsia="宋体"/>
              </w:rPr>
              <w:t>二、项目</w:t>
            </w:r>
            <w:r>
              <w:rPr>
                <w:rFonts w:ascii="宋体" w:hAnsi="宋体" w:cs="宋体" w:eastAsia="宋体"/>
              </w:rPr>
              <w:t>内容</w:t>
            </w:r>
          </w:p>
          <w:p>
            <w:pPr>
              <w:pStyle w:val="null3"/>
              <w:jc w:val="both"/>
            </w:pPr>
            <w:r>
              <w:rPr>
                <w:rFonts w:ascii="calibri" w:hAnsi="calibri" w:cs="calibri" w:eastAsia="calibri"/>
              </w:rPr>
              <w:t>1</w:t>
            </w:r>
            <w:r>
              <w:rPr>
                <w:rFonts w:ascii="宋体" w:hAnsi="宋体" w:cs="宋体" w:eastAsia="宋体"/>
              </w:rPr>
              <w:t>、项目概况：陕甘边照金革命根据地旧址薛家寨革命旧址展示工程，工程范围为薛家寨</w:t>
            </w:r>
            <w:r>
              <w:rPr>
                <w:rFonts w:ascii="calibri" w:hAnsi="calibri" w:cs="calibri" w:eastAsia="calibri"/>
              </w:rPr>
              <w:t>1-4</w:t>
            </w:r>
            <w:r>
              <w:rPr>
                <w:rFonts w:ascii="宋体" w:hAnsi="宋体" w:cs="宋体" w:eastAsia="宋体"/>
              </w:rPr>
              <w:t>号红军寨四个寨子，四个寨子总面</w:t>
            </w:r>
            <w:r>
              <w:rPr>
                <w:rFonts w:ascii="宋体" w:hAnsi="宋体" w:cs="宋体" w:eastAsia="宋体"/>
              </w:rPr>
              <w:t>积约</w:t>
            </w:r>
            <w:r>
              <w:rPr>
                <w:rFonts w:ascii="calibri" w:hAnsi="calibri" w:cs="calibri" w:eastAsia="calibri"/>
              </w:rPr>
              <w:t>936</w:t>
            </w:r>
            <w:r>
              <w:rPr>
                <w:rFonts w:ascii="宋体" w:hAnsi="宋体" w:cs="宋体" w:eastAsia="宋体"/>
              </w:rPr>
              <w:t>平方米</w:t>
            </w:r>
            <w:r>
              <w:rPr>
                <w:rFonts w:ascii="宋体" w:hAnsi="宋体" w:cs="宋体" w:eastAsia="宋体"/>
              </w:rPr>
              <w:t xml:space="preserve"> </w:t>
            </w:r>
            <w:r>
              <w:rPr>
                <w:rFonts w:ascii="calibri" w:hAnsi="calibri" w:cs="calibri" w:eastAsia="calibri"/>
              </w:rPr>
              <w:t>,</w:t>
            </w:r>
            <w:r>
              <w:rPr>
                <w:rFonts w:ascii="宋体" w:hAnsi="宋体" w:cs="宋体" w:eastAsia="宋体"/>
              </w:rPr>
              <w:t>预估陈列面积约为</w:t>
            </w:r>
            <w:r>
              <w:rPr>
                <w:rFonts w:ascii="calibri" w:hAnsi="calibri" w:cs="calibri" w:eastAsia="calibri"/>
              </w:rPr>
              <w:t>700-800</w:t>
            </w:r>
            <w:r>
              <w:rPr>
                <w:rFonts w:ascii="宋体" w:hAnsi="宋体" w:cs="宋体" w:eastAsia="宋体"/>
              </w:rPr>
              <w:t>平方米</w:t>
            </w:r>
            <w:r>
              <w:rPr>
                <w:rFonts w:ascii="宋体" w:hAnsi="宋体" w:cs="宋体" w:eastAsia="宋体"/>
              </w:rPr>
              <w:t xml:space="preserve"> </w:t>
            </w:r>
            <w:r>
              <w:rPr>
                <w:rFonts w:ascii="宋体" w:hAnsi="宋体" w:cs="宋体" w:eastAsia="宋体"/>
              </w:rPr>
              <w:t>。</w:t>
            </w:r>
            <w:r>
              <w:rPr>
                <w:rFonts w:ascii="宋体" w:hAnsi="宋体" w:cs="宋体" w:eastAsia="宋体"/>
              </w:rPr>
              <w:t>包括基础装修，艺术品、场景工程，布展，安装及多媒体工程等。</w:t>
            </w:r>
          </w:p>
          <w:p>
            <w:pPr>
              <w:pStyle w:val="null3"/>
              <w:jc w:val="both"/>
            </w:pPr>
            <w:r>
              <w:rPr>
                <w:rFonts w:ascii="calibri" w:hAnsi="calibri" w:cs="calibri" w:eastAsia="calibri"/>
              </w:rPr>
              <w:t>2</w:t>
            </w:r>
            <w:r>
              <w:rPr>
                <w:rFonts w:ascii="宋体" w:hAnsi="宋体" w:cs="宋体" w:eastAsia="宋体"/>
              </w:rPr>
              <w:t>、采购内容：结合旧址现有场地条件</w:t>
            </w:r>
            <w:r>
              <w:rPr>
                <w:rFonts w:ascii="calibri" w:hAnsi="calibri" w:cs="calibri" w:eastAsia="calibri"/>
              </w:rPr>
              <w:t>,</w:t>
            </w:r>
            <w:r>
              <w:rPr>
                <w:rFonts w:ascii="宋体" w:hAnsi="宋体" w:cs="宋体" w:eastAsia="宋体"/>
              </w:rPr>
              <w:t>运用新媒体新手段创新展陈形式，结合场景造型</w:t>
            </w:r>
            <w:r>
              <w:rPr>
                <w:rFonts w:ascii="calibri" w:hAnsi="calibri" w:cs="calibri" w:eastAsia="calibri"/>
              </w:rPr>
              <w:t>, AR</w:t>
            </w:r>
            <w:r>
              <w:rPr>
                <w:rFonts w:ascii="宋体" w:hAnsi="宋体" w:cs="宋体" w:eastAsia="宋体"/>
              </w:rPr>
              <w:t>技术等</w:t>
            </w:r>
            <w:r>
              <w:rPr>
                <w:rFonts w:ascii="calibri" w:hAnsi="calibri" w:cs="calibri" w:eastAsia="calibri"/>
              </w:rPr>
              <w:t>,</w:t>
            </w:r>
            <w:r>
              <w:rPr>
                <w:rFonts w:ascii="宋体" w:hAnsi="宋体" w:cs="宋体" w:eastAsia="宋体"/>
              </w:rPr>
              <w:t>增设必要的历史还原场景及塑像，让展陈主题鲜明、鲜活生动且还原当时的历史真相。陈列展示过程中充分保障对文物本体</w:t>
            </w:r>
            <w:r>
              <w:rPr>
                <w:rFonts w:ascii="calibri" w:hAnsi="calibri" w:cs="calibri" w:eastAsia="calibri"/>
              </w:rPr>
              <w:t>1-4</w:t>
            </w:r>
            <w:r>
              <w:rPr>
                <w:rFonts w:ascii="宋体" w:hAnsi="宋体" w:cs="宋体" w:eastAsia="宋体"/>
              </w:rPr>
              <w:t>号寨寨墙的安全保障，在不影响寨墙等本体安全和整体风貌的情况下，采取有效展陈方式。</w:t>
            </w:r>
          </w:p>
          <w:p>
            <w:pPr>
              <w:pStyle w:val="null3"/>
              <w:jc w:val="both"/>
            </w:pPr>
            <w:r>
              <w:rPr>
                <w:rFonts w:ascii="宋体" w:hAnsi="宋体" w:cs="宋体" w:eastAsia="宋体"/>
              </w:rPr>
              <w:t>一号洞（陕甘边区游击支队驻地）：根据岩洞特殊的地理构造，科学合理布局设计，通过雕塑、土炕、火炉等当时的一些旧家具以及枪支、弹药等物品，还原陕甘边游击支队的驻地原貌。展区内适当位置设置二维码，形成立体传播，游客手机扫码即可浏览展区全景动画。</w:t>
            </w:r>
          </w:p>
          <w:p>
            <w:pPr>
              <w:pStyle w:val="null3"/>
              <w:jc w:val="both"/>
            </w:pPr>
            <w:r>
              <w:rPr>
                <w:rFonts w:ascii="宋体" w:hAnsi="宋体" w:cs="宋体" w:eastAsia="宋体"/>
              </w:rPr>
              <w:t>二号洞（红军医院和被服厂）：二号红军寨还原红军医院和被服厂，围栏外侧设置二号红军寨的简介牌，以及三角形互动装置，观众可通过旋转拼图，了解红军医院和被服厂当年所具备的功能以及所承接的任务。通过实物陈列、艺术雕塑、多媒体等方式，突出表现红军医院及被服厂的历史性贡献。</w:t>
            </w:r>
          </w:p>
          <w:p>
            <w:pPr>
              <w:pStyle w:val="null3"/>
              <w:jc w:val="both"/>
            </w:pPr>
            <w:r>
              <w:rPr>
                <w:rFonts w:ascii="宋体" w:hAnsi="宋体" w:cs="宋体" w:eastAsia="宋体"/>
              </w:rPr>
              <w:t>三号洞（红军修械所）：综合利用多种展陈形式突出主题内容，表现红军修械所在战争年代发挥的巨大作用。多媒体视频播放惠子俊创办红军修械所及桂生芳研制</w:t>
            </w:r>
            <w:r>
              <w:rPr>
                <w:rFonts w:ascii="宋体" w:hAnsi="宋体" w:cs="宋体" w:eastAsia="宋体"/>
              </w:rPr>
              <w:t>“麻辫手榴弹”的故事和“麻辫手榴弹”怎么投掷使用，增强空间氛围感。让观众对红军修械所的历史概况有初步认知。利用石桌、水桶、木盆、长板凳等物品陈列摆放，复原红军修械所的生活环境。反映军械厂工人在简陋的工作条件下保持高度的工作热情，以及坚定的革命意志力。中心陈列惠子俊打铁的艺术雕塑，熊熊燃烧的火炉、简易的桌子及修械用具，突出在简陋的条件下，惠子俊带领的工人为红军修理枪械，制造弹药和地雷等所作出的不懈努力，反映艰苦卓绝的军工生产场景。观众可通过围栏外的互动装置，全方位了解修械厂概况围栏外侧设置二维码，游客扫码即可呈现栩栩如生的打铁过程及制造武器，使用武器等场景，让观众仿佛置身其中，产生强烈的代入感与共鸣，提升互动感与体验感。</w:t>
            </w:r>
          </w:p>
          <w:p>
            <w:pPr>
              <w:pStyle w:val="null3"/>
              <w:jc w:val="both"/>
            </w:pPr>
            <w:r>
              <w:rPr>
                <w:rFonts w:ascii="宋体" w:hAnsi="宋体" w:cs="宋体" w:eastAsia="宋体"/>
              </w:rPr>
              <w:t>四号洞（陕甘边特委驻地和供需仓库）：结合四号红军寨展示内容的特征，全面复原陕甘特委驻地和供需仓库的历史面貌。中间为四号红军寨简介牌，透明屏以星辰闪耀的形式呈现陕甘边照金革命根据地的历史人物名字，寓意革命人物灿若星辰。左侧为陕甘边组织序列表，下方放置的粮袋突出供需仓库的功能。同时，连环画的形式讲述陕甘边区革命委员会在薛家寨山下的亭子沟建立集贸市场的故事。</w:t>
            </w:r>
          </w:p>
          <w:p>
            <w:pPr>
              <w:pStyle w:val="null3"/>
              <w:jc w:val="both"/>
            </w:pPr>
            <w:r>
              <w:rPr>
                <w:rFonts w:ascii="宋体" w:hAnsi="宋体" w:cs="宋体" w:eastAsia="宋体"/>
                <w:sz w:val="21"/>
              </w:rPr>
              <w:t>（具体详见工程量清单）</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符合磋商文件和国家规定验收标准，质量要求：达到现行施工验收规范合格标准 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三、针对本项目的其他技术服务要求：</w:t>
      </w:r>
    </w:p>
    <w:p>
      <w:pPr>
        <w:pStyle w:val="null3"/>
      </w:pPr>
      <w:r>
        <w:rPr/>
        <w:t>1、材料的质量直接影响装修装饰工程的质量和效果，因此，在材料选用上需慎重。应选择符合设计要求、质量可靠、性能优良的材料，严禁使用不合格或伪劣材料。在材料选用时，还应考虑环保、节能等因素。 2、施工工艺的选择直接关系到装修装饰工程的最终效果和质量。应根据设计要求和工程特点，选择合适的施工工艺，并保证施工工艺的可行性和可靠性。同时，应积极采用新技术、新工艺，提高施工效率和质量。 3、产品属于优先采购节能、环境标志产品范围的，应当优先采购节能、环境标志产品；产品符合政府采购强制采购政策的，实行强制采购。 4、对于同时列入环保品目清单和节能品目清单的产品，应当优先于只列入其中一个清单的产品。</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必须达到国家及行业现行技术规范标准，符合国家及行业验收合格标准。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度或2023年度经审计的财务会计报告（成立时间至提交响应文件截止时间不足一年的可提供成立后任意时段的资产负债表），或其开标前三个月内基本存款账户开户银行出具的资信证明，或信用担保机构出具的投标担保函。（以上三种形式的资料提供任何一种）</w:t>
            </w:r>
          </w:p>
        </w:tc>
        <w:tc>
          <w:tcPr>
            <w:tcW w:type="dxa" w:w="1661"/>
          </w:tcPr>
          <w:p>
            <w:pPr>
              <w:pStyle w:val="null3"/>
            </w:pPr>
            <w:r>
              <w:rPr/>
              <w:t>供应商应提交的相关资格证明材料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参与的供应商工程的施工单位全部为符合政策要求的中小企业。</w:t>
            </w:r>
          </w:p>
        </w:tc>
        <w:tc>
          <w:tcPr>
            <w:tcW w:type="dxa" w:w="1661"/>
          </w:tcPr>
          <w:p>
            <w:pPr>
              <w:pStyle w:val="null3"/>
            </w:pPr>
            <w:r>
              <w:rPr/>
              <w:t>中小企业声明函 残疾人福利性单位声明函 监狱企业的证明文件</w:t>
            </w:r>
          </w:p>
        </w:tc>
      </w:tr>
      <w:tr>
        <w:tc>
          <w:tcPr>
            <w:tcW w:type="dxa" w:w="831"/>
          </w:tcPr>
          <w:p>
            <w:pPr>
              <w:pStyle w:val="null3"/>
            </w:pPr>
            <w:r>
              <w:rPr/>
              <w:t>2</w:t>
            </w:r>
          </w:p>
        </w:tc>
        <w:tc>
          <w:tcPr>
            <w:tcW w:type="dxa" w:w="2492"/>
          </w:tcPr>
          <w:p>
            <w:pPr>
              <w:pStyle w:val="null3"/>
            </w:pPr>
            <w:r>
              <w:rPr/>
              <w:t>落实政府采购政策需满足的资格要求</w:t>
            </w:r>
          </w:p>
        </w:tc>
        <w:tc>
          <w:tcPr>
            <w:tcW w:type="dxa" w:w="3322"/>
          </w:tcPr>
          <w:p>
            <w:pPr>
              <w:pStyle w:val="null3"/>
            </w:pPr>
            <w:r>
              <w:rPr/>
              <w:t>1）《政府采购促进中小企业发展管理办法》（财库〔2020〕46号）； 2）《财政部司法部关于政府采购支持监狱企业发展有关问题的通知》（财库〔2014〕68号）； 3）《国务院办公厅关于建立政府强制采购节能产品制度的通知》（国办发〔2007〕51号）； 4）《财政部 环保总局关于环境标志产品政府采购实施的意见》（财库〔2006〕90号）； 5）《财政部国家发展改革委关于印发〈节能产品政府采购实施意见〉的通知》（财库〔2004〕185号）； 6）《财政部民政部中国残疾人联合会关于促进残疾人就业政府采购政策的通知》（财库〔2017〕141号）； 7）《财政部发展改革委生态环境部市场监管总局关于调整优化节能产品、环境标志产品政府采购执行机制的通知》（财库〔2019〕9号）； 8）《关于印发环境标志产品政府采购品目清单的通知》（财库〔2019〕18号）； 9）《关于印发节能产品政府采购品目清单的通知》（财库〔2019〕19号）； 10）《财政部农业农村部 国家乡村振兴局关于运用政府采购政策支持乡村产业振兴的通知》财库〔2021〕19号； 11）《陕西省财政厅关于印发陕西省中小企业政府采购信用融资办法》（陕财办采〔2018〕23号）； 12）《陕西省财政厅关于加快推进我省中小企业政府采购信用融资工作的通知》（陕财办采〔2020〕15号）； 13)其他需要落实的政府采购政策。</w:t>
            </w:r>
          </w:p>
        </w:tc>
        <w:tc>
          <w:tcPr>
            <w:tcW w:type="dxa" w:w="1661"/>
          </w:tcPr>
          <w:p>
            <w:pPr>
              <w:pStyle w:val="null3"/>
            </w:pPr>
            <w:r>
              <w:rPr/>
              <w:t>响应函</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具有独立承担民事责任能力的法人、其他组织或自然人，营业执照、组织机构代码证、税务登记证（三证合一只提供营业执照，事业单位提供事业单位法人证书，自然人应提供身份证）合法有效；</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企业资质</w:t>
            </w:r>
          </w:p>
        </w:tc>
        <w:tc>
          <w:tcPr>
            <w:tcW w:type="dxa" w:w="3322"/>
          </w:tcPr>
          <w:p>
            <w:pPr>
              <w:pStyle w:val="null3"/>
            </w:pPr>
            <w:r>
              <w:rPr/>
              <w:t>须具备建设部门颁发的建筑工程施工总承包三级（含）及以上资质或建筑装修装饰工程专业承包二级（含）及以上资质，且具有有效的安全生产许可证；</w:t>
            </w:r>
          </w:p>
        </w:tc>
        <w:tc>
          <w:tcPr>
            <w:tcW w:type="dxa" w:w="1661"/>
          </w:tcPr>
          <w:p>
            <w:pPr>
              <w:pStyle w:val="null3"/>
            </w:pPr>
            <w:r>
              <w:rPr/>
              <w:t>项目管理机构组成表</w:t>
            </w:r>
          </w:p>
        </w:tc>
      </w:tr>
      <w:tr>
        <w:tc>
          <w:tcPr>
            <w:tcW w:type="dxa" w:w="831"/>
          </w:tcPr>
          <w:p>
            <w:pPr>
              <w:pStyle w:val="null3"/>
            </w:pPr>
            <w:r>
              <w:rPr/>
              <w:t>3</w:t>
            </w:r>
          </w:p>
        </w:tc>
        <w:tc>
          <w:tcPr>
            <w:tcW w:type="dxa" w:w="2492"/>
          </w:tcPr>
          <w:p>
            <w:pPr>
              <w:pStyle w:val="null3"/>
            </w:pPr>
            <w:r>
              <w:rPr/>
              <w:t>法定代表人或授权代表证明</w:t>
            </w:r>
          </w:p>
        </w:tc>
        <w:tc>
          <w:tcPr>
            <w:tcW w:type="dxa" w:w="3322"/>
          </w:tcPr>
          <w:p>
            <w:pPr>
              <w:pStyle w:val="null3"/>
            </w:pPr>
            <w:r>
              <w:rPr/>
              <w:t>法定代表人参加磋商时，提供本人身份证；授权代表参加磋商时，提供法定代表人授权书和被授权人身份证；非法人单位参照执行；</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项目经理</w:t>
            </w:r>
          </w:p>
        </w:tc>
        <w:tc>
          <w:tcPr>
            <w:tcW w:type="dxa" w:w="3322"/>
          </w:tcPr>
          <w:p>
            <w:pPr>
              <w:pStyle w:val="null3"/>
            </w:pPr>
            <w:r>
              <w:rPr/>
              <w:t>拟委派项目经理须具有有效的建筑工程专业贰级（含）及以上注册建造师执业资格并具有有效的安全生产考核合格证（B证），在本单位注册且无在建项目；</w:t>
            </w:r>
          </w:p>
        </w:tc>
        <w:tc>
          <w:tcPr>
            <w:tcW w:type="dxa" w:w="1661"/>
          </w:tcPr>
          <w:p>
            <w:pPr>
              <w:pStyle w:val="null3"/>
            </w:pPr>
            <w:r>
              <w:rPr/>
              <w:t>供应商应提交的相关资格证明材料 主要人员简历表</w:t>
            </w:r>
          </w:p>
        </w:tc>
      </w:tr>
      <w:tr>
        <w:tc>
          <w:tcPr>
            <w:tcW w:type="dxa" w:w="831"/>
          </w:tcPr>
          <w:p>
            <w:pPr>
              <w:pStyle w:val="null3"/>
            </w:pPr>
            <w:r>
              <w:rPr/>
              <w:t>5</w:t>
            </w:r>
          </w:p>
        </w:tc>
        <w:tc>
          <w:tcPr>
            <w:tcW w:type="dxa" w:w="2492"/>
          </w:tcPr>
          <w:p>
            <w:pPr>
              <w:pStyle w:val="null3"/>
            </w:pPr>
            <w:r>
              <w:rPr/>
              <w:t>无重大违法记录的书面声明</w:t>
            </w:r>
          </w:p>
        </w:tc>
        <w:tc>
          <w:tcPr>
            <w:tcW w:type="dxa" w:w="3322"/>
          </w:tcPr>
          <w:p>
            <w:pPr>
              <w:pStyle w:val="null3"/>
            </w:pPr>
            <w:r>
              <w:rPr/>
              <w:t>参加政府采购活动前三年内，在经营活动中没有重大违法记录的书面声明；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税收缴纳证明</w:t>
            </w:r>
          </w:p>
        </w:tc>
        <w:tc>
          <w:tcPr>
            <w:tcW w:type="dxa" w:w="3322"/>
          </w:tcPr>
          <w:p>
            <w:pPr>
              <w:pStyle w:val="null3"/>
            </w:pPr>
            <w:r>
              <w:rPr/>
              <w:t>提供2024年1月1日以来已缴纳任意一个月完税凭证或税务机关开具的完税证明（任意税种）；依法免税的应提供相关文件证明；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社会保障资金缴纳证明</w:t>
            </w:r>
          </w:p>
        </w:tc>
        <w:tc>
          <w:tcPr>
            <w:tcW w:type="dxa" w:w="3322"/>
          </w:tcPr>
          <w:p>
            <w:pPr>
              <w:pStyle w:val="null3"/>
            </w:pPr>
            <w:r>
              <w:rPr/>
              <w:t>提供2024年1月1日以来已缴存的任意一个月的社会保障资金缴存证明或社保机构开具的社会保险参保缴费情况证明；依法不需要缴纳社会保障资金的应提供相关文件证明；</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财务状况</w:t>
            </w:r>
          </w:p>
        </w:tc>
        <w:tc>
          <w:tcPr>
            <w:tcW w:type="dxa" w:w="3322"/>
          </w:tcPr>
          <w:p>
            <w:pPr>
              <w:pStyle w:val="null3"/>
            </w:pPr>
            <w:r>
              <w:rPr/>
              <w:t>提供2022年度或2023年度经审计的财务会计报告（成立时间至提交响应文件截止时间不足一年的可提供成立后任意时段的资产负债表），或其开标前三个月内基本存款账户开户银行出具的资信证明，或信用担保机构出具的投标担保函。（以上三种形式的资料提供任何一种）</w:t>
            </w:r>
          </w:p>
        </w:tc>
        <w:tc>
          <w:tcPr>
            <w:tcW w:type="dxa" w:w="1661"/>
          </w:tcPr>
          <w:p>
            <w:pPr>
              <w:pStyle w:val="null3"/>
            </w:pPr>
            <w:r>
              <w:rPr/>
              <w:t>供应商应提交的相关资格证明材料 响应函</w:t>
            </w:r>
          </w:p>
        </w:tc>
      </w:tr>
      <w:tr>
        <w:tc>
          <w:tcPr>
            <w:tcW w:type="dxa" w:w="831"/>
          </w:tcPr>
          <w:p>
            <w:pPr>
              <w:pStyle w:val="null3"/>
            </w:pPr>
            <w:r>
              <w:rPr/>
              <w:t>9</w:t>
            </w:r>
          </w:p>
        </w:tc>
        <w:tc>
          <w:tcPr>
            <w:tcW w:type="dxa" w:w="2492"/>
          </w:tcPr>
          <w:p>
            <w:pPr>
              <w:pStyle w:val="null3"/>
            </w:pPr>
            <w:r>
              <w:rPr/>
              <w:t>信用查询</w:t>
            </w:r>
          </w:p>
        </w:tc>
        <w:tc>
          <w:tcPr>
            <w:tcW w:type="dxa" w:w="3322"/>
          </w:tcPr>
          <w:p>
            <w:pPr>
              <w:pStyle w:val="null3"/>
            </w:pPr>
            <w:r>
              <w:rPr/>
              <w:t>供应商不得为“信用中国”网站（www.creditchina.gov.cn）和中国政府采购网（www.ccgp.gov.cn）中被列入失信被执行人、重大税收违法案件当事人名单、政府采购严重违法失信行为记录名单的单位。（磋商时，代理机构将现场查询）；</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控股、关联关系</w:t>
            </w:r>
          </w:p>
        </w:tc>
        <w:tc>
          <w:tcPr>
            <w:tcW w:type="dxa" w:w="3322"/>
          </w:tcPr>
          <w:p>
            <w:pPr>
              <w:pStyle w:val="null3"/>
            </w:pPr>
            <w:r>
              <w:rPr/>
              <w:t>单位负责人为同一人或者存在控股、管理关系的不同单位不得同时参与本次磋商；为本项目提供整体设计、规范编制或者项目管理、监理、检测等服务的供应商，不得再参加该采购项目的其他采购活动。</w:t>
            </w:r>
          </w:p>
        </w:tc>
        <w:tc>
          <w:tcPr>
            <w:tcW w:type="dxa" w:w="1661"/>
          </w:tcPr>
          <w:p>
            <w:pPr>
              <w:pStyle w:val="null3"/>
            </w:pPr>
            <w:r>
              <w:rPr/>
              <w:t>供应商应提交的相关资格证明材料 响应函</w:t>
            </w:r>
          </w:p>
        </w:tc>
      </w:tr>
      <w:tr>
        <w:tc>
          <w:tcPr>
            <w:tcW w:type="dxa" w:w="831"/>
          </w:tcPr>
          <w:p>
            <w:pPr>
              <w:pStyle w:val="null3"/>
            </w:pPr>
            <w:r>
              <w:rPr/>
              <w:t>11</w:t>
            </w:r>
          </w:p>
        </w:tc>
        <w:tc>
          <w:tcPr>
            <w:tcW w:type="dxa" w:w="2492"/>
          </w:tcPr>
          <w:p>
            <w:pPr>
              <w:pStyle w:val="null3"/>
            </w:pPr>
            <w:r>
              <w:rPr/>
              <w:t>是否接受联合体磋商</w:t>
            </w:r>
          </w:p>
        </w:tc>
        <w:tc>
          <w:tcPr>
            <w:tcW w:type="dxa" w:w="3322"/>
          </w:tcPr>
          <w:p>
            <w:pPr>
              <w:pStyle w:val="null3"/>
            </w:pPr>
            <w:r>
              <w:rPr/>
              <w:t>本项目不接受联合体磋商</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节能、环境标志产品</w:t>
            </w:r>
          </w:p>
        </w:tc>
        <w:tc>
          <w:tcPr>
            <w:tcW w:type="dxa" w:w="2492"/>
          </w:tcPr>
          <w:p>
            <w:pPr>
              <w:pStyle w:val="null3"/>
            </w:pPr>
            <w:r>
              <w:rPr/>
              <w:t>投标产品中属于政府采购优先采购范围的，则每有一项为节能产品或者环境标志产品得0.5 分，非节能、环境标志产品的不得分。本项最多得2分。 注：1.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 注：供应商应当按照第六章强制、优先采购产品承诺函格式进行承诺（提供承诺书）</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强制优先采购产品承诺函</w:t>
            </w:r>
          </w:p>
        </w:tc>
      </w:tr>
      <w:tr>
        <w:tc>
          <w:tcPr>
            <w:tcW w:type="dxa" w:w="831"/>
            <w:vMerge/>
          </w:tcPr>
          <w:p/>
        </w:tc>
        <w:tc>
          <w:tcPr>
            <w:tcW w:type="dxa" w:w="1661"/>
          </w:tcPr>
          <w:p>
            <w:pPr>
              <w:pStyle w:val="null3"/>
            </w:pPr>
            <w:r>
              <w:rPr/>
              <w:t>项目重点、难点分析</w:t>
            </w:r>
          </w:p>
        </w:tc>
        <w:tc>
          <w:tcPr>
            <w:tcW w:type="dxa" w:w="2492"/>
          </w:tcPr>
          <w:p>
            <w:pPr>
              <w:pStyle w:val="null3"/>
            </w:pPr>
            <w:r>
              <w:rPr/>
              <w:t>1、项目实施中的重点、难点分析，实现这些重点、难点工程进度、质量目标的具体施工方案及保证措施： 1.1、内容完备、科学、合理、针对性强得 (3-5]分； 1.2、内容一般、基本可行得 (0-3]分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施工部署与进度计划</w:t>
            </w:r>
          </w:p>
        </w:tc>
        <w:tc>
          <w:tcPr>
            <w:tcW w:type="dxa" w:w="2492"/>
          </w:tcPr>
          <w:p>
            <w:pPr>
              <w:pStyle w:val="null3"/>
            </w:pPr>
            <w:r>
              <w:rPr/>
              <w:t>1、针对本项目特点，制定切实可行的施工进度计划和工期保证措施：内容完备全面、科学、合理、针对性强得 (6-10]分；内容一般、较全面、基本可行得 (0-6]。 2、针对本项目特点，制定切实可行的劳动力配备计划、施工机具配备计划和有效的控制措施或应急预案： 2.1、内容科学、合理、针对性强得 (6-10]分； 2.2、内容一般、基本可行得 (0-6分。 3、针对本项目特点，制定切实可行的材料采购计划及保证措施： 3.1、内容完备、科学、合理、针对性强得 (6-10]分； 3.2、内容一般、基本可行得 (0-6]分。 以上无内容不得分。</w:t>
            </w:r>
          </w:p>
        </w:tc>
        <w:tc>
          <w:tcPr>
            <w:tcW w:type="dxa" w:w="831"/>
          </w:tcPr>
          <w:p>
            <w:pPr>
              <w:pStyle w:val="null3"/>
              <w:jc w:val="right"/>
            </w:pPr>
            <w:r>
              <w:rPr/>
              <w:t>30.0000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工程质量保障措施</w:t>
            </w:r>
          </w:p>
        </w:tc>
        <w:tc>
          <w:tcPr>
            <w:tcW w:type="dxa" w:w="2492"/>
          </w:tcPr>
          <w:p>
            <w:pPr>
              <w:pStyle w:val="null3"/>
            </w:pPr>
            <w:r>
              <w:rPr/>
              <w:t>1、针对本项目特点制定切实可行的质量控制目标和保证措 施，并针对重要施工段制定有效的质量控制措施及技术解决措施： 1.1、内容完备、科学、合理、针对性强得 (3-5]分； 1.2、内容一般、基本可行得 (0-3]分。 2、施工检测及工序交验方案和成品、半成品保护措施： 2.1、内容完备、科学、合理、针对性强得 (3-5]分； 2.2、内容一般、基本可行得 (0-3]分。 以上无内容不得分。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安全文明环保施工保证措施</w:t>
            </w:r>
          </w:p>
        </w:tc>
        <w:tc>
          <w:tcPr>
            <w:tcW w:type="dxa" w:w="2492"/>
          </w:tcPr>
          <w:p>
            <w:pPr>
              <w:pStyle w:val="null3"/>
            </w:pPr>
            <w:r>
              <w:rPr/>
              <w:t>1、结合工程环境、特点分析安全隐患，给出有针对性的安全生产、文明施工、环保施工、防尘降噪等保证措施： 1.1、内容完备、科学、合理、针对性强得 (3-5]； 1.2、内容一般、基本可行得 (0-3]分。 2、安全文明、环保施工保证体系和控制点设置合理，满足国 家、省市相关法规规定及采购文件要求： 2.1、内容完备、科学、合理、针对性强得 (3-5]； 2.2、内容一般、基本可行得 (0-3]分。 以上无内容不得分。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售后服务</w:t>
            </w:r>
          </w:p>
        </w:tc>
        <w:tc>
          <w:tcPr>
            <w:tcW w:type="dxa" w:w="2492"/>
          </w:tcPr>
          <w:p>
            <w:pPr>
              <w:pStyle w:val="null3"/>
            </w:pPr>
            <w:r>
              <w:rPr/>
              <w:t>根据供应商提供的保修服务承诺、保修计划、售后服务机构及人员、售后服务应答及处理时间等方面进行评审。 售后服务措施和承诺具体、详细可行，得(3-5]分； 售后服务措施和承诺较完善，内容一般，得(0-3]分；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业绩</w:t>
            </w:r>
          </w:p>
        </w:tc>
        <w:tc>
          <w:tcPr>
            <w:tcW w:type="dxa" w:w="2492"/>
          </w:tcPr>
          <w:p>
            <w:pPr>
              <w:pStyle w:val="null3"/>
            </w:pPr>
            <w:r>
              <w:rPr/>
              <w:t>提供2021年1月至今同类项目业绩，响应文件中附有其合同文件为依据（提供加盖供应商红色公章的完整复印件，合同以签订时间为准），供应商提供一份业绩得基础分2分，每增加一份业绩加2分，本项最高得8分。不提供或不按要求提供，本项得0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满足磋商文件要求且投标价格最低的磋商报价为评标基准价，其价格分为满分。其他供应商的价格分统一按照下列公式计算：报价得分=（评标基准价/磋商报价（最终））×30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详见附件：展示工程--合同.docx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