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版本号：241121002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铜川市林权登记成果建库汇交项目</w:t>
      </w:r>
    </w:p>
    <w:p>
      <w:pPr>
        <w:pStyle w:val="null3"/>
        <w:jc w:val="center"/>
        <w:outlineLvl w:val="2"/>
      </w:pPr>
      <w:r>
        <w:rPr>
          <w:sz w:val="28"/>
          <w:b/>
        </w:rPr>
        <w:t>采购项目编号：</w:t>
      </w:r>
      <w:r>
        <w:rPr>
          <w:sz w:val="28"/>
          <w:b/>
        </w:rPr>
        <w:t>SXXDCG-TC-001</w:t>
      </w:r>
      <w:r>
        <w:br/>
      </w:r>
      <w:r>
        <w:br/>
      </w:r>
      <w:r>
        <w:br/>
      </w:r>
    </w:p>
    <w:p>
      <w:pPr>
        <w:pStyle w:val="null3"/>
        <w:jc w:val="center"/>
        <w:outlineLvl w:val="2"/>
      </w:pPr>
      <w:r>
        <w:rPr>
          <w:sz w:val="28"/>
          <w:b/>
        </w:rPr>
        <w:t>铜川市不动产登记中心</w:t>
      </w:r>
    </w:p>
    <w:p>
      <w:pPr>
        <w:pStyle w:val="null3"/>
        <w:jc w:val="center"/>
        <w:outlineLvl w:val="2"/>
      </w:pPr>
      <w:r>
        <w:rPr>
          <w:sz w:val="28"/>
          <w:b/>
        </w:rPr>
        <w:t>陕西信德全过程项目管理有限责任公司</w:t>
      </w:r>
      <w:r>
        <w:rPr>
          <w:sz w:val="28"/>
          <w:b/>
        </w:rPr>
        <w:t>共同编制</w:t>
      </w:r>
    </w:p>
    <w:p>
      <w:pPr>
        <w:pStyle w:val="null3"/>
        <w:jc w:val="center"/>
        <w:outlineLvl w:val="2"/>
      </w:pPr>
      <w:r>
        <w:rPr>
          <w:sz w:val="28"/>
          <w:b/>
        </w:rPr>
        <w:t>2024年11月21日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陕西信德全过程项目管理有限责任公司</w:t>
      </w:r>
      <w:r>
        <w:rPr/>
        <w:t>（以下简称“代理机构”）受</w:t>
      </w:r>
      <w:r>
        <w:rPr/>
        <w:t>铜川市不动产登记中心</w:t>
      </w:r>
      <w:r>
        <w:rPr/>
        <w:t>委托，拟对</w:t>
      </w:r>
      <w:r>
        <w:rPr/>
        <w:t>铜川市林权登记成果建库汇交项目</w:t>
      </w:r>
      <w:r>
        <w:rPr/>
        <w:t>进行国内公开招标，兹邀请符合本次招标要求的供应商参加投标。</w:t>
      </w:r>
    </w:p>
    <w:p>
      <w:pPr>
        <w:pStyle w:val="null3"/>
        <w:outlineLvl w:val="2"/>
      </w:pPr>
      <w:r>
        <w:rPr>
          <w:sz w:val="28"/>
          <w:b/>
        </w:rPr>
        <w:t>一、采购项目编号：</w:t>
      </w:r>
      <w:r>
        <w:rPr>
          <w:sz w:val="28"/>
          <w:b/>
        </w:rPr>
        <w:t>SXXDCG-TC-001</w:t>
      </w:r>
    </w:p>
    <w:p>
      <w:pPr>
        <w:pStyle w:val="null3"/>
        <w:outlineLvl w:val="2"/>
      </w:pPr>
      <w:r>
        <w:rPr>
          <w:sz w:val="28"/>
          <w:b/>
        </w:rPr>
        <w:t>二、采购项目名称：</w:t>
      </w:r>
      <w:r>
        <w:rPr>
          <w:sz w:val="28"/>
          <w:b/>
        </w:rPr>
        <w:t>铜川市林权登记成果建库汇交项目</w:t>
      </w:r>
    </w:p>
    <w:p>
      <w:pPr>
        <w:pStyle w:val="null3"/>
        <w:outlineLvl w:val="2"/>
      </w:pPr>
      <w:r>
        <w:rPr>
          <w:sz w:val="28"/>
          <w:b/>
        </w:rPr>
        <w:t>三、招标项目简介</w:t>
      </w:r>
    </w:p>
    <w:p>
      <w:pPr>
        <w:pStyle w:val="null3"/>
        <w:ind w:firstLine="480"/>
      </w:pPr>
      <w:r>
        <w:rPr/>
        <w:t>具体实施王益区、印台区、耀州区、新区林权登记成果采用内业资料收集、数据扫描电子化、编制不动产单元号、林权矢量化、数据入库、匹配，包括林权数据入库、属性数据，空间数据匹配关联、数据汇交；外业采取外业调查、权籍测量、采取图解、调绘、实测等手段，对林权界址范围不清晰或有异议的进行现场测量，并生成林权宗地矢量数据并绘制宗地草图。</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1、营业执照：供应商须具有独立承担民事责任能力的法人或其他组织，提供营业执照或事业单位法人证书，或自然人的身份证明；</w:t>
      </w:r>
    </w:p>
    <w:p>
      <w:pPr>
        <w:pStyle w:val="null3"/>
      </w:pPr>
      <w:r>
        <w:rPr/>
        <w:t>2、行业资质：供应商须具备行政主管部门颁发的乙级及以上测绘资质。</w:t>
      </w:r>
    </w:p>
    <w:p>
      <w:pPr>
        <w:pStyle w:val="null3"/>
      </w:pPr>
      <w:r>
        <w:rPr/>
        <w:t>3、法定代表人授权书：法定代表人授权书（附法定代表人、被授权人身份证复印件）及被授权人身份证（法定代表人参加投标只需提供本人身份证）；</w:t>
      </w:r>
    </w:p>
    <w:p>
      <w:pPr>
        <w:pStyle w:val="null3"/>
      </w:pPr>
      <w:r>
        <w:rPr/>
        <w:t>4、财务状况报告：财务状况报告：提供2023年的财务审计报告（至少包括资产负债表和利润表，成立时间至提交投标文件截止时间不足一年的可提供成立后任意时段的资产负债表）或开标前三个月内基本存款账户开户银行开具的资信证明；</w:t>
      </w:r>
    </w:p>
    <w:p>
      <w:pPr>
        <w:pStyle w:val="null3"/>
      </w:pPr>
      <w:r>
        <w:rPr/>
        <w:t>5、税收缴纳证明：税收缴纳证明：自2023年1月1日以来已缴纳的至少一个月的纳税证明或完税证明（提供增值税、营业税、企业所得税至少一种），纳税证明或完税证明上应有代收机构或税务机关的公章或业务专用章。依法免税的供应商应提供相关文件证明（复印件加盖供应商公章）；</w:t>
      </w:r>
    </w:p>
    <w:p>
      <w:pPr>
        <w:pStyle w:val="null3"/>
      </w:pPr>
      <w:r>
        <w:rPr/>
        <w:t>6、社保缴纳证明：社保缴纳证明：自2023年1月1日以来已缴存的至少一个月的社会保障资金缴存单据或社保机构开具的社会保险参保缴费情况证明。依法不需要缴纳社会保障资金的供应商应提供相关文件证明；</w:t>
      </w:r>
    </w:p>
    <w:p>
      <w:pPr>
        <w:pStyle w:val="null3"/>
      </w:pPr>
      <w:r>
        <w:rPr/>
        <w:t>7、网页截图：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t>8、无联合体：无联合体投标承诺函；</w:t>
      </w:r>
    </w:p>
    <w:p>
      <w:pPr>
        <w:pStyle w:val="null3"/>
      </w:pPr>
      <w:r>
        <w:rPr/>
        <w:t>采购包2：</w:t>
      </w:r>
    </w:p>
    <w:p>
      <w:pPr>
        <w:pStyle w:val="null3"/>
      </w:pPr>
      <w:r>
        <w:rPr/>
        <w:t>1、营业执照：供应商须具有独立承担民事责任能力的法人或其他组织，提供营业执照或事业单位法人证书，或自然人的身份证明；</w:t>
      </w:r>
    </w:p>
    <w:p>
      <w:pPr>
        <w:pStyle w:val="null3"/>
      </w:pPr>
      <w:r>
        <w:rPr/>
        <w:t>2、行业资质：供应商须具备行政主管部门颁发的乙级及以上测绘资质。</w:t>
      </w:r>
    </w:p>
    <w:p>
      <w:pPr>
        <w:pStyle w:val="null3"/>
      </w:pPr>
      <w:r>
        <w:rPr/>
        <w:t>3、法定代表人授权书：法定代表人授权书（附法定代表人、被授权人身份证复印件）及被授权人身份证（法定代表人参加投标只需提供本人身份证）；</w:t>
      </w:r>
    </w:p>
    <w:p>
      <w:pPr>
        <w:pStyle w:val="null3"/>
      </w:pPr>
      <w:r>
        <w:rPr/>
        <w:t>4、财务状况报告：财务状况报告：提供2023年的财务审计报告（至少包括资产负债表和利润表，成立时间至提交投标文件截止时间不足一年的可提供成立后任意时段的资产负债表）或开标前三个月内基本存款账户开户银行开具的资信证明；</w:t>
      </w:r>
    </w:p>
    <w:p>
      <w:pPr>
        <w:pStyle w:val="null3"/>
      </w:pPr>
      <w:r>
        <w:rPr/>
        <w:t>5、税收缴纳证明：税收缴纳证明：自2023年1月1日以来已缴纳的至少一个月的纳税证明或完税证明（提供增值税、营业税、企业所得税至少一种），纳税证明或完税证明上应有代收机构或税务机关的公章或业务专用章。依法免税的供应商应提供相关文件证明（复印件加盖供应商公章）；</w:t>
      </w:r>
    </w:p>
    <w:p>
      <w:pPr>
        <w:pStyle w:val="null3"/>
      </w:pPr>
      <w:r>
        <w:rPr/>
        <w:t>6、社保缴纳证明：社保缴纳证明：自2023年1月1日以来已缴存的至少一个月的社会保障资金缴存单据或社保机构开具的社会保险参保缴费情况证明。依法不需要缴纳社会保障资金的供应商应提供相关文件证明；</w:t>
      </w:r>
    </w:p>
    <w:p>
      <w:pPr>
        <w:pStyle w:val="null3"/>
      </w:pPr>
      <w:r>
        <w:rPr/>
        <w:t>7、网页截图：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t>8、无联合体：无联合体投标承诺函；</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铜川市不动产登记中心</w:t>
      </w:r>
    </w:p>
    <w:p>
      <w:pPr>
        <w:pStyle w:val="null3"/>
      </w:pPr>
      <w:r>
        <w:rPr/>
        <w:t xml:space="preserve"> 地址： </w:t>
      </w:r>
      <w:r>
        <w:rPr/>
        <w:t>铜川新区长虹南路世纪花园B3号楼</w:t>
      </w:r>
    </w:p>
    <w:p>
      <w:pPr>
        <w:pStyle w:val="null3"/>
      </w:pPr>
      <w:r>
        <w:rPr/>
        <w:t xml:space="preserve"> 邮编： </w:t>
      </w:r>
      <w:r>
        <w:rPr/>
        <w:t>727000</w:t>
      </w:r>
    </w:p>
    <w:p>
      <w:pPr>
        <w:pStyle w:val="null3"/>
      </w:pPr>
      <w:r>
        <w:rPr/>
        <w:t xml:space="preserve"> 联系人： </w:t>
      </w:r>
      <w:r>
        <w:rPr/>
        <w:t>铜川市不动产登记中心经办</w:t>
      </w:r>
    </w:p>
    <w:p>
      <w:pPr>
        <w:pStyle w:val="null3"/>
      </w:pPr>
      <w:r>
        <w:rPr/>
        <w:t xml:space="preserve"> 联系电话： </w:t>
      </w:r>
      <w:r>
        <w:rPr/>
        <w:t>0919-3195314</w:t>
      </w:r>
    </w:p>
    <w:p>
      <w:pPr>
        <w:pStyle w:val="null3"/>
        <w:outlineLvl w:val="2"/>
      </w:pPr>
      <w:r>
        <w:rPr>
          <w:sz w:val="28"/>
          <w:b/>
        </w:rPr>
        <w:t>代理机构：</w:t>
      </w:r>
      <w:r>
        <w:rPr>
          <w:sz w:val="28"/>
          <w:b/>
        </w:rPr>
        <w:t>陕西信德全过程项目管理有限责任公司</w:t>
      </w:r>
    </w:p>
    <w:p>
      <w:pPr>
        <w:pStyle w:val="null3"/>
      </w:pPr>
      <w:r>
        <w:rPr/>
        <w:t xml:space="preserve"> 地址： </w:t>
      </w:r>
      <w:r>
        <w:rPr/>
        <w:t>陕西省铜川市市本级陕西省铜川市新区铁诺北路电信分公司院内办公咯2楼201-202室</w:t>
      </w:r>
    </w:p>
    <w:p>
      <w:pPr>
        <w:pStyle w:val="null3"/>
      </w:pPr>
      <w:r>
        <w:rPr/>
        <w:t xml:space="preserve"> 邮编： </w:t>
      </w:r>
      <w:r>
        <w:rPr/>
        <w:t>727000</w:t>
      </w:r>
    </w:p>
    <w:p>
      <w:pPr>
        <w:pStyle w:val="null3"/>
      </w:pPr>
      <w:r>
        <w:rPr/>
        <w:t xml:space="preserve"> 联系人： </w:t>
      </w:r>
      <w:r>
        <w:rPr/>
        <w:t>石锦宝</w:t>
      </w:r>
    </w:p>
    <w:p>
      <w:pPr>
        <w:pStyle w:val="null3"/>
      </w:pPr>
      <w:r>
        <w:rPr/>
        <w:t xml:space="preserve"> 联系电话： </w:t>
      </w:r>
      <w:r>
        <w:rPr/>
        <w:t>0919-2581311</w:t>
      </w:r>
    </w:p>
    <w:p>
      <w:pPr>
        <w:pStyle w:val="null3"/>
        <w:outlineLvl w:val="2"/>
      </w:pPr>
      <w:r>
        <w:rPr>
          <w:sz w:val="28"/>
          <w:b/>
        </w:rPr>
        <w:t>采购监督机构：</w:t>
      </w:r>
      <w:r>
        <w:rPr>
          <w:sz w:val="28"/>
          <w:b/>
        </w:rPr>
        <w:t>铜川市财政局政府采购管理科</w:t>
      </w:r>
    </w:p>
    <w:p>
      <w:pPr>
        <w:pStyle w:val="null3"/>
        <w:ind w:firstLine="480"/>
      </w:pPr>
      <w:r>
        <w:rPr/>
        <w:t>联系人：</w:t>
      </w:r>
      <w:r>
        <w:rPr/>
        <w:t>郭老师</w:t>
      </w:r>
    </w:p>
    <w:p>
      <w:pPr>
        <w:pStyle w:val="null3"/>
        <w:ind w:firstLine="480"/>
      </w:pPr>
      <w:r>
        <w:rPr/>
        <w:t>联系电话：</w:t>
      </w:r>
      <w:r>
        <w:rPr/>
        <w:t>0919-3281620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采购包1：2,152,769.00元</w:t>
            </w:r>
          </w:p>
          <w:p>
            <w:pPr>
              <w:pStyle w:val="null3"/>
            </w:pPr>
            <w:r>
              <w:rPr/>
              <w:t>采购包2：2,141,624.00元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代理服务费收费标准：依据国家发展和改革委员会发改价格【2011】534号、计价格【2002】1980号文件收费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是否组织潜在投标人现场考察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铜川市不动产登记中心</w:t>
      </w:r>
      <w:r>
        <w:rPr/>
        <w:t>和</w:t>
      </w:r>
      <w:r>
        <w:rPr/>
        <w:t>陕西信德全过程项目管理有限责任公司</w:t>
      </w:r>
      <w:r>
        <w:rPr/>
        <w:t>享有。对招标文件中供应商参加本次政府采购活动应当具备的条件，招标项目技术、服务、商务及其他要求，评标细则及标准由</w:t>
      </w:r>
      <w:r>
        <w:rPr/>
        <w:t>铜川市不动产登记中心</w:t>
      </w:r>
      <w:r>
        <w:rPr/>
        <w:t>负责解释。除上述招标文件内容，其他内容由</w:t>
      </w:r>
      <w:r>
        <w:rPr/>
        <w:t>陕西信德全过程项目管理有限责任公司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铜川市不动产登记中心</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陕西信德全过程项目管理有限责任公司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sz w:val="24"/>
          <w:b/>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达到国家相关规定标准</w:t>
      </w:r>
    </w:p>
    <w:p>
      <w:pPr>
        <w:pStyle w:val="null3"/>
      </w:pPr>
      <w:r>
        <w:rPr/>
        <w:t>采购包2：</w:t>
      </w:r>
    </w:p>
    <w:p>
      <w:pPr>
        <w:pStyle w:val="null3"/>
      </w:pPr>
      <w:r>
        <w:rPr/>
        <w:t>符合国家相关规定标准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sz w:val="24"/>
          <w:b/>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sz w:val="24"/>
          <w:b/>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陕西信德全过程项目管理有限责任公司</w:t>
      </w:r>
      <w:r>
        <w:rPr/>
        <w:t xml:space="preserve"> 负责答复；供应商对除采购需求外的采购文件的询问、质疑由</w:t>
      </w:r>
      <w:r>
        <w:rPr/>
        <w:t>陕西信德全过程项目管理有限责任公司</w:t>
      </w:r>
      <w:r>
        <w:rPr/>
        <w:t xml:space="preserve"> 负责答复；供应商对采购过程、采购结果的询问、质疑由 </w:t>
      </w:r>
      <w:r>
        <w:rPr/>
        <w:t>陕西信德全过程项目管理有限责任公司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联系人：石锦宝</w:t>
      </w:r>
    </w:p>
    <w:p>
      <w:pPr>
        <w:pStyle w:val="null3"/>
      </w:pPr>
      <w:r>
        <w:rPr/>
        <w:t>联系电话：0919-2581311</w:t>
      </w:r>
    </w:p>
    <w:p>
      <w:pPr>
        <w:pStyle w:val="null3"/>
      </w:pPr>
      <w:r>
        <w:rPr/>
        <w:t>地址：铜川市王益区金茂大厦D座1602室</w:t>
      </w:r>
    </w:p>
    <w:p>
      <w:pPr>
        <w:pStyle w:val="null3"/>
      </w:pPr>
      <w:r>
        <w:rPr/>
        <w:t>邮编：727000</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具体实施王益区、印台区、耀州区、新区林权登记成果采用内业资料收集、数据扫描电子化、编制不动产单元号、林权矢量化、数据入库、匹配，包括林权数据入库、属性数据，空间数据匹配关联、数据汇交；外业采取外业调查、权籍测量、采取图解、调绘、实测等手段，对林权界址范围不清晰或有异议的进行现场测量，并生成林权宗地矢量数据并绘制宗地草图。</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2,152,769.00</w:t>
      </w:r>
    </w:p>
    <w:p>
      <w:pPr>
        <w:pStyle w:val="null3"/>
      </w:pPr>
      <w:r>
        <w:rPr/>
        <w:t>采购包最高限价（元）: 2,152,769.00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铜川市林权登记成果建库汇交项目（一标段）</w:t>
            </w:r>
          </w:p>
        </w:tc>
        <w:tc>
          <w:tcPr>
            <w:tcW w:type="dxa" w:w="831"/>
          </w:tcPr>
          <w:p>
            <w:pPr>
              <w:pStyle w:val="null3"/>
              <w:jc w:val="right"/>
            </w:pPr>
            <w:r>
              <w:rPr/>
              <w:t>1.00</w:t>
            </w:r>
          </w:p>
        </w:tc>
        <w:tc>
          <w:tcPr>
            <w:tcW w:type="dxa" w:w="831"/>
          </w:tcPr>
          <w:p>
            <w:pPr>
              <w:pStyle w:val="null3"/>
              <w:jc w:val="right"/>
            </w:pPr>
            <w:r>
              <w:rPr/>
              <w:t>2,152,769.00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2,141,624.00</w:t>
      </w:r>
    </w:p>
    <w:p>
      <w:pPr>
        <w:pStyle w:val="null3"/>
      </w:pPr>
      <w:r>
        <w:rPr/>
        <w:t>采购包最高限价（元）: 2,141,624.00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铜川市林权登记成果建库汇交项目（二标段）</w:t>
            </w:r>
          </w:p>
        </w:tc>
        <w:tc>
          <w:tcPr>
            <w:tcW w:type="dxa" w:w="831"/>
          </w:tcPr>
          <w:p>
            <w:pPr>
              <w:pStyle w:val="null3"/>
              <w:jc w:val="right"/>
            </w:pPr>
            <w:r>
              <w:rPr/>
              <w:t>1.00</w:t>
            </w:r>
          </w:p>
        </w:tc>
        <w:tc>
          <w:tcPr>
            <w:tcW w:type="dxa" w:w="831"/>
          </w:tcPr>
          <w:p>
            <w:pPr>
              <w:pStyle w:val="null3"/>
              <w:jc w:val="right"/>
            </w:pPr>
            <w:r>
              <w:rPr/>
              <w:t>2,141,624.00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3"/>
      </w:pPr>
      <w:r>
        <w:rPr>
          <w:sz w:val="24"/>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标的名称：铜川市林权登记成果建库汇交项目（一标段）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具体实施，对王益区、印台区区域林权登记成果采用内业资料收集、数据扫描电子化、编制不动产单元号、林权矢量化、数据入库、匹配，包括林权数据入库、属性数据，空间数据匹配关联、数据汇交；外业采取外业调查、权籍测量、采取图解、调绘、实测等手段，对林权界址范围不清晰或有异议的进行现场测量，并生成林权宗地矢量数据并绘制宗地草图。</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标的名称：铜川市林权登记成果建库汇交项目（二标段）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具体实施，对耀州区、新区区域林权登记成果采用内业资料收集、数据扫描电子化、编制不动产单元号、林权矢量化、数据入库、匹配，包括林权数据入库、属性数据，空间数据匹配关联、数据汇交；外业采取外业调查、权籍测量、采取图解、调绘、实测等手段，对林权界址范围不清晰或有异议的进行现场测量，并生成林权宗地矢量数据并绘制宗地草图。</w:t>
            </w:r>
          </w:p>
        </w:tc>
      </w:tr>
    </w:tbl>
    <w:p>
      <w:pPr>
        <w:pStyle w:val="null3"/>
        <w:outlineLvl w:val="3"/>
      </w:pPr>
      <w:r>
        <w:rPr>
          <w:sz w:val="24"/>
          <w:b/>
        </w:rPr>
        <w:t>3.2.3人员配置要求</w:t>
      </w:r>
    </w:p>
    <w:p>
      <w:pPr>
        <w:pStyle w:val="null3"/>
      </w:pPr>
      <w:r>
        <w:rPr/>
        <w:t>采购包1：</w:t>
      </w:r>
    </w:p>
    <w:p>
      <w:pPr>
        <w:pStyle w:val="null3"/>
      </w:pPr>
      <w:r>
        <w:rPr/>
        <w:t>无</w:t>
      </w:r>
    </w:p>
    <w:p>
      <w:pPr>
        <w:pStyle w:val="null3"/>
      </w:pPr>
      <w:r>
        <w:rPr/>
        <w:t>采购包2：</w:t>
      </w:r>
    </w:p>
    <w:p>
      <w:pPr>
        <w:pStyle w:val="null3"/>
      </w:pPr>
      <w:r>
        <w:rPr/>
        <w:t>无</w:t>
      </w:r>
    </w:p>
    <w:p>
      <w:pPr>
        <w:pStyle w:val="null3"/>
        <w:outlineLvl w:val="3"/>
      </w:pPr>
      <w:r>
        <w:rPr>
          <w:sz w:val="24"/>
          <w:b/>
        </w:rPr>
        <w:t>3.2.4设施设备配置要求</w:t>
      </w:r>
    </w:p>
    <w:p>
      <w:pPr>
        <w:pStyle w:val="null3"/>
      </w:pPr>
      <w:r>
        <w:rPr/>
        <w:t>采购包1：</w:t>
      </w:r>
    </w:p>
    <w:p>
      <w:pPr>
        <w:pStyle w:val="null3"/>
      </w:pPr>
      <w:r>
        <w:rPr/>
        <w:t>无</w:t>
      </w:r>
    </w:p>
    <w:p>
      <w:pPr>
        <w:pStyle w:val="null3"/>
      </w:pPr>
      <w:r>
        <w:rPr/>
        <w:t>采购包2：</w:t>
      </w:r>
    </w:p>
    <w:p>
      <w:pPr>
        <w:pStyle w:val="null3"/>
      </w:pPr>
      <w:r>
        <w:rPr/>
        <w:t>无</w:t>
      </w:r>
    </w:p>
    <w:p>
      <w:pPr>
        <w:pStyle w:val="null3"/>
        <w:outlineLvl w:val="3"/>
      </w:pPr>
      <w:r>
        <w:rPr>
          <w:sz w:val="24"/>
          <w:b/>
        </w:rPr>
        <w:t>3.2.5其他要求</w:t>
      </w:r>
    </w:p>
    <w:p>
      <w:pPr>
        <w:pStyle w:val="null3"/>
      </w:pPr>
      <w:r>
        <w:rPr/>
        <w:t>采购包1：</w:t>
      </w:r>
    </w:p>
    <w:p>
      <w:pPr>
        <w:pStyle w:val="null3"/>
      </w:pPr>
      <w:r>
        <w:rPr/>
        <w:t>无</w:t>
      </w:r>
    </w:p>
    <w:p>
      <w:pPr>
        <w:pStyle w:val="null3"/>
      </w:pPr>
      <w:r>
        <w:rPr/>
        <w:t>采购包2：</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30天</w:t>
      </w:r>
    </w:p>
    <w:p>
      <w:pPr>
        <w:pStyle w:val="null3"/>
      </w:pPr>
      <w:r>
        <w:rPr/>
        <w:t>采购包2：</w:t>
      </w:r>
    </w:p>
    <w:p>
      <w:pPr>
        <w:pStyle w:val="null3"/>
      </w:pPr>
      <w:r>
        <w:rPr/>
        <w:t>30天</w:t>
      </w:r>
    </w:p>
    <w:p>
      <w:pPr>
        <w:pStyle w:val="null3"/>
        <w:outlineLvl w:val="3"/>
      </w:pPr>
      <w:r>
        <w:rPr>
          <w:sz w:val="24"/>
          <w:b/>
        </w:rPr>
        <w:t>3.3.2服务地点</w:t>
      </w:r>
    </w:p>
    <w:p>
      <w:pPr>
        <w:pStyle w:val="null3"/>
      </w:pPr>
      <w:r>
        <w:rPr/>
        <w:t>采购包1：</w:t>
      </w:r>
    </w:p>
    <w:p>
      <w:pPr>
        <w:pStyle w:val="null3"/>
      </w:pPr>
      <w:r>
        <w:rPr/>
        <w:t>铜川市不动产登记中心</w:t>
      </w:r>
    </w:p>
    <w:p>
      <w:pPr>
        <w:pStyle w:val="null3"/>
      </w:pPr>
      <w:r>
        <w:rPr/>
        <w:t>采购包2：</w:t>
      </w:r>
    </w:p>
    <w:p>
      <w:pPr>
        <w:pStyle w:val="null3"/>
      </w:pPr>
      <w:r>
        <w:rPr/>
        <w:t>铜川市不动产登记中心</w:t>
      </w:r>
    </w:p>
    <w:p>
      <w:pPr>
        <w:pStyle w:val="null3"/>
        <w:outlineLvl w:val="3"/>
      </w:pPr>
      <w:r>
        <w:rPr>
          <w:sz w:val="24"/>
          <w:b/>
        </w:rPr>
        <w:t>3.3.3考核（验收）标准和方法</w:t>
      </w:r>
    </w:p>
    <w:p>
      <w:pPr>
        <w:pStyle w:val="null3"/>
      </w:pPr>
      <w:r>
        <w:rPr/>
        <w:t>采购包1：</w:t>
      </w:r>
    </w:p>
    <w:p>
      <w:pPr>
        <w:pStyle w:val="null3"/>
      </w:pPr>
      <w:r>
        <w:rPr/>
        <w:t>提交符合采购单位要求的成果文件</w:t>
      </w:r>
    </w:p>
    <w:p>
      <w:pPr>
        <w:pStyle w:val="null3"/>
      </w:pPr>
      <w:r>
        <w:rPr/>
        <w:t>采购包2：</w:t>
      </w:r>
    </w:p>
    <w:p>
      <w:pPr>
        <w:pStyle w:val="null3"/>
      </w:pPr>
      <w:r>
        <w:rPr/>
        <w:t>提交符合采购单位要求的成果文件</w:t>
      </w:r>
    </w:p>
    <w:p>
      <w:pPr>
        <w:pStyle w:val="null3"/>
        <w:outlineLvl w:val="3"/>
      </w:pPr>
      <w:r>
        <w:rPr>
          <w:sz w:val="24"/>
          <w:b/>
        </w:rPr>
        <w:t>3.3.4支付方式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签订合同后</w:t>
      </w:r>
      <w:r>
        <w:rPr/>
        <w:t xml:space="preserve"> ，达到付款条件起 </w:t>
      </w:r>
      <w:r>
        <w:rPr/>
        <w:t>10</w:t>
      </w:r>
      <w:r>
        <w:rPr/>
        <w:t xml:space="preserve"> 日内，支付合同总金额的 </w:t>
      </w:r>
      <w:r>
        <w:rPr/>
        <w:t>12.00</w:t>
      </w:r>
      <w:r>
        <w:rPr/>
        <w:t>%。</w:t>
      </w:r>
    </w:p>
    <w:p>
      <w:pPr>
        <w:pStyle w:val="null3"/>
      </w:pPr>
      <w:r>
        <w:rPr/>
        <w:t>采购包1：</w:t>
      </w:r>
      <w:r>
        <w:rPr/>
        <w:t xml:space="preserve"> 付款条件说明： </w:t>
      </w:r>
      <w:r>
        <w:rPr/>
        <w:t>提交成果文件后</w:t>
      </w:r>
      <w:r>
        <w:rPr/>
        <w:t xml:space="preserve"> ，达到付款条件起 </w:t>
      </w:r>
      <w:r>
        <w:rPr/>
        <w:t>10</w:t>
      </w:r>
      <w:r>
        <w:rPr/>
        <w:t xml:space="preserve"> 日内，支付合同总金额的 </w:t>
      </w:r>
      <w:r>
        <w:rPr/>
        <w:t>50.00</w:t>
      </w:r>
      <w:r>
        <w:rPr/>
        <w:t>%。</w:t>
      </w:r>
    </w:p>
    <w:p>
      <w:pPr>
        <w:pStyle w:val="null3"/>
      </w:pPr>
      <w:r>
        <w:rPr/>
        <w:t>采购包1：</w:t>
      </w:r>
      <w:r>
        <w:rPr/>
        <w:t xml:space="preserve"> 付款条件说明： </w:t>
      </w:r>
      <w:r>
        <w:rPr/>
        <w:t>验收合格后</w:t>
      </w:r>
      <w:r>
        <w:rPr/>
        <w:t xml:space="preserve"> ，达到付款条件起 </w:t>
      </w:r>
      <w:r>
        <w:rPr/>
        <w:t>10</w:t>
      </w:r>
      <w:r>
        <w:rPr/>
        <w:t xml:space="preserve"> 日内，支付合同总金额的 </w:t>
      </w:r>
      <w:r>
        <w:rPr/>
        <w:t>38.00</w:t>
      </w:r>
      <w:r>
        <w:rPr/>
        <w:t>%。</w:t>
      </w:r>
    </w:p>
    <w:p>
      <w:pPr>
        <w:pStyle w:val="null3"/>
      </w:pPr>
      <w:r>
        <w:rPr/>
        <w:t>采购包2：</w:t>
      </w:r>
      <w:r>
        <w:rPr/>
        <w:t xml:space="preserve"> 付款条件说明： </w:t>
      </w:r>
      <w:r>
        <w:rPr/>
        <w:t>合同签订后</w:t>
      </w:r>
      <w:r>
        <w:rPr/>
        <w:t xml:space="preserve"> ，达到付款条件起 </w:t>
      </w:r>
      <w:r>
        <w:rPr/>
        <w:t>10</w:t>
      </w:r>
      <w:r>
        <w:rPr/>
        <w:t xml:space="preserve"> 日内，支付合同总金额的 </w:t>
      </w:r>
      <w:r>
        <w:rPr/>
        <w:t>12.00</w:t>
      </w:r>
      <w:r>
        <w:rPr/>
        <w:t>%。</w:t>
      </w:r>
    </w:p>
    <w:p>
      <w:pPr>
        <w:pStyle w:val="null3"/>
      </w:pPr>
      <w:r>
        <w:rPr/>
        <w:t>采购包2：</w:t>
      </w:r>
      <w:r>
        <w:rPr/>
        <w:t xml:space="preserve"> 付款条件说明： </w:t>
      </w:r>
      <w:r>
        <w:rPr/>
        <w:t>提交成果文件后</w:t>
      </w:r>
      <w:r>
        <w:rPr/>
        <w:t xml:space="preserve"> ，达到付款条件起 </w:t>
      </w:r>
      <w:r>
        <w:rPr/>
        <w:t>10</w:t>
      </w:r>
      <w:r>
        <w:rPr/>
        <w:t xml:space="preserve"> 日内，支付合同总金额的 </w:t>
      </w:r>
      <w:r>
        <w:rPr/>
        <w:t>50.00</w:t>
      </w:r>
      <w:r>
        <w:rPr/>
        <w:t>%。</w:t>
      </w:r>
    </w:p>
    <w:p>
      <w:pPr>
        <w:pStyle w:val="null3"/>
      </w:pPr>
      <w:r>
        <w:rPr/>
        <w:t>采购包2：</w:t>
      </w:r>
      <w:r>
        <w:rPr/>
        <w:t xml:space="preserve"> 付款条件说明： </w:t>
      </w:r>
      <w:r>
        <w:rPr/>
        <w:t>验收合格后</w:t>
      </w:r>
      <w:r>
        <w:rPr/>
        <w:t xml:space="preserve"> ，达到付款条件起 </w:t>
      </w:r>
      <w:r>
        <w:rPr/>
        <w:t>10</w:t>
      </w:r>
      <w:r>
        <w:rPr/>
        <w:t xml:space="preserve"> 日内，支付合同总金额的 </w:t>
      </w:r>
      <w:r>
        <w:rPr/>
        <w:t>38.00</w:t>
      </w:r>
      <w:r>
        <w:rPr/>
        <w:t>%。</w:t>
      </w:r>
    </w:p>
    <w:p>
      <w:pPr>
        <w:pStyle w:val="null3"/>
        <w:outlineLvl w:val="3"/>
      </w:pPr>
      <w:r>
        <w:rPr>
          <w:sz w:val="24"/>
          <w:b/>
        </w:rPr>
        <w:t>3.3.6违约责任与解决争议的方法</w:t>
      </w:r>
    </w:p>
    <w:p>
      <w:pPr>
        <w:pStyle w:val="null3"/>
      </w:pPr>
      <w:r>
        <w:rPr/>
        <w:t>采购包1：</w:t>
      </w:r>
    </w:p>
    <w:p>
      <w:pPr>
        <w:pStyle w:val="null3"/>
      </w:pPr>
      <w:r>
        <w:rPr/>
        <w:t>到合同签订地仲裁委员会或当地法院解决</w:t>
      </w:r>
    </w:p>
    <w:p>
      <w:pPr>
        <w:pStyle w:val="null3"/>
      </w:pPr>
      <w:r>
        <w:rPr/>
        <w:t>采购包2：</w:t>
      </w:r>
    </w:p>
    <w:p>
      <w:pPr>
        <w:pStyle w:val="null3"/>
      </w:pPr>
      <w:r>
        <w:rPr/>
        <w:t>到合同签订地仲裁委员会或当地法院解决</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供应商须具有独立承担民事责任能力的法人或其他组织，提供营业执照或事业单位法人证书，或自然人的身份证明；</w:t>
            </w:r>
          </w:p>
        </w:tc>
        <w:tc>
          <w:tcPr>
            <w:tcW w:type="dxa" w:w="1661"/>
          </w:tcPr>
          <w:p>
            <w:pPr>
              <w:pStyle w:val="null3"/>
            </w:pPr>
            <w:r>
              <w:rPr/>
              <w:t>资格文件</w:t>
            </w:r>
          </w:p>
        </w:tc>
      </w:tr>
      <w:tr>
        <w:tc>
          <w:tcPr>
            <w:tcW w:type="dxa" w:w="831"/>
          </w:tcPr>
          <w:p>
            <w:pPr>
              <w:pStyle w:val="null3"/>
            </w:pPr>
            <w:r>
              <w:rPr/>
              <w:t>2</w:t>
            </w:r>
          </w:p>
        </w:tc>
        <w:tc>
          <w:tcPr>
            <w:tcW w:type="dxa" w:w="2492"/>
          </w:tcPr>
          <w:p>
            <w:pPr>
              <w:pStyle w:val="null3"/>
            </w:pPr>
            <w:r>
              <w:rPr/>
              <w:t>行业资质</w:t>
            </w:r>
          </w:p>
        </w:tc>
        <w:tc>
          <w:tcPr>
            <w:tcW w:type="dxa" w:w="3322"/>
          </w:tcPr>
          <w:p>
            <w:pPr>
              <w:pStyle w:val="null3"/>
            </w:pPr>
            <w:r>
              <w:rPr/>
              <w:t>供应商须具备行政主管部门颁发的乙级及以上测绘资质。</w:t>
            </w:r>
          </w:p>
        </w:tc>
        <w:tc>
          <w:tcPr>
            <w:tcW w:type="dxa" w:w="1661"/>
          </w:tcPr>
          <w:p>
            <w:pPr>
              <w:pStyle w:val="null3"/>
            </w:pPr>
            <w:r>
              <w:rPr/>
              <w:t>资格文件</w:t>
            </w:r>
          </w:p>
        </w:tc>
      </w:tr>
      <w:tr>
        <w:tc>
          <w:tcPr>
            <w:tcW w:type="dxa" w:w="831"/>
          </w:tcPr>
          <w:p>
            <w:pPr>
              <w:pStyle w:val="null3"/>
            </w:pPr>
            <w:r>
              <w:rPr/>
              <w:t>3</w:t>
            </w:r>
          </w:p>
        </w:tc>
        <w:tc>
          <w:tcPr>
            <w:tcW w:type="dxa" w:w="2492"/>
          </w:tcPr>
          <w:p>
            <w:pPr>
              <w:pStyle w:val="null3"/>
            </w:pPr>
            <w:r>
              <w:rPr/>
              <w:t>法定代表人授权书</w:t>
            </w:r>
          </w:p>
        </w:tc>
        <w:tc>
          <w:tcPr>
            <w:tcW w:type="dxa" w:w="3322"/>
          </w:tcPr>
          <w:p>
            <w:pPr>
              <w:pStyle w:val="null3"/>
            </w:pPr>
            <w:r>
              <w:rPr/>
              <w:t>法定代表人授权书（附法定代表人、被授权人身份证复印件）及被授权人身份证（法定代表人参加投标只需提供本人身份证）；</w:t>
            </w:r>
          </w:p>
        </w:tc>
        <w:tc>
          <w:tcPr>
            <w:tcW w:type="dxa" w:w="1661"/>
          </w:tcPr>
          <w:p>
            <w:pPr>
              <w:pStyle w:val="null3"/>
            </w:pPr>
            <w:r>
              <w:rPr/>
              <w:t>资格文件</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财务状况报告：提供2023年的财务审计报告（至少包括资产负债表和利润表，成立时间至提交投标文件截止时间不足一年的可提供成立后任意时段的资产负债表）或开标前三个月内基本存款账户开户银行开具的资信证明；</w:t>
            </w:r>
          </w:p>
        </w:tc>
        <w:tc>
          <w:tcPr>
            <w:tcW w:type="dxa" w:w="1661"/>
          </w:tcPr>
          <w:p>
            <w:pPr>
              <w:pStyle w:val="null3"/>
            </w:pPr>
            <w:r>
              <w:rPr/>
              <w:t>资格文件</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税收缴纳证明：自2023年1月1日以来已缴纳的至少一个月的纳税证明或完税证明（提供增值税、营业税、企业所得税至少一种），纳税证明或完税证明上应有代收机构或税务机关的公章或业务专用章。依法免税的供应商应提供相关文件证明（复印件加盖供应商公章）；</w:t>
            </w:r>
          </w:p>
        </w:tc>
        <w:tc>
          <w:tcPr>
            <w:tcW w:type="dxa" w:w="1661"/>
          </w:tcPr>
          <w:p>
            <w:pPr>
              <w:pStyle w:val="null3"/>
            </w:pPr>
            <w:r>
              <w:rPr/>
              <w:t>资格文件</w:t>
            </w:r>
          </w:p>
        </w:tc>
      </w:tr>
      <w:tr>
        <w:tc>
          <w:tcPr>
            <w:tcW w:type="dxa" w:w="831"/>
          </w:tcPr>
          <w:p>
            <w:pPr>
              <w:pStyle w:val="null3"/>
            </w:pPr>
            <w:r>
              <w:rPr/>
              <w:t>6</w:t>
            </w:r>
          </w:p>
        </w:tc>
        <w:tc>
          <w:tcPr>
            <w:tcW w:type="dxa" w:w="2492"/>
          </w:tcPr>
          <w:p>
            <w:pPr>
              <w:pStyle w:val="null3"/>
            </w:pPr>
            <w:r>
              <w:rPr/>
              <w:t>社保缴纳证明</w:t>
            </w:r>
          </w:p>
        </w:tc>
        <w:tc>
          <w:tcPr>
            <w:tcW w:type="dxa" w:w="3322"/>
          </w:tcPr>
          <w:p>
            <w:pPr>
              <w:pStyle w:val="null3"/>
            </w:pPr>
            <w:r>
              <w:rPr/>
              <w:t>社保缴纳证明：自2023年1月1日以来已缴存的至少一个月的社会保障资金缴存单据或社保机构开具的社会保险参保缴费情况证明。依法不需要缴纳社会保障资金的供应商应提供相关文件证明；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t>资格文件</w:t>
            </w:r>
          </w:p>
        </w:tc>
      </w:tr>
      <w:tr>
        <w:tc>
          <w:tcPr>
            <w:tcW w:type="dxa" w:w="831"/>
          </w:tcPr>
          <w:p>
            <w:pPr>
              <w:pStyle w:val="null3"/>
            </w:pPr>
            <w:r>
              <w:rPr/>
              <w:t>7</w:t>
            </w:r>
          </w:p>
        </w:tc>
        <w:tc>
          <w:tcPr>
            <w:tcW w:type="dxa" w:w="2492"/>
          </w:tcPr>
          <w:p>
            <w:pPr>
              <w:pStyle w:val="null3"/>
            </w:pPr>
            <w:r>
              <w:rPr/>
              <w:t>网页截图</w:t>
            </w:r>
          </w:p>
        </w:tc>
        <w:tc>
          <w:tcPr>
            <w:tcW w:type="dxa" w:w="3322"/>
          </w:tcPr>
          <w:p>
            <w:pPr>
              <w:pStyle w:val="null3"/>
            </w:pPr>
            <w:r>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t>资格文件</w:t>
            </w:r>
          </w:p>
        </w:tc>
      </w:tr>
      <w:tr>
        <w:tc>
          <w:tcPr>
            <w:tcW w:type="dxa" w:w="831"/>
          </w:tcPr>
          <w:p>
            <w:pPr>
              <w:pStyle w:val="null3"/>
            </w:pPr>
            <w:r>
              <w:rPr/>
              <w:t>8</w:t>
            </w:r>
          </w:p>
        </w:tc>
        <w:tc>
          <w:tcPr>
            <w:tcW w:type="dxa" w:w="2492"/>
          </w:tcPr>
          <w:p>
            <w:pPr>
              <w:pStyle w:val="null3"/>
            </w:pPr>
            <w:r>
              <w:rPr/>
              <w:t>无联合体</w:t>
            </w:r>
          </w:p>
        </w:tc>
        <w:tc>
          <w:tcPr>
            <w:tcW w:type="dxa" w:w="3322"/>
          </w:tcPr>
          <w:p>
            <w:pPr>
              <w:pStyle w:val="null3"/>
            </w:pPr>
            <w:r>
              <w:rPr/>
              <w:t>无联合体投标承诺函；</w:t>
            </w:r>
          </w:p>
        </w:tc>
        <w:tc>
          <w:tcPr>
            <w:tcW w:type="dxa" w:w="1661"/>
          </w:tcPr>
          <w:p>
            <w:pPr>
              <w:pStyle w:val="null3"/>
            </w:pPr>
            <w:r>
              <w:rPr/>
              <w:t>资格文件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供应商须具有独立承担民事责任能力的法人或其他组织，提供营业执照或事业单位法人证书，或自然人的身份证明；</w:t>
            </w:r>
          </w:p>
        </w:tc>
        <w:tc>
          <w:tcPr>
            <w:tcW w:type="dxa" w:w="1661"/>
          </w:tcPr>
          <w:p>
            <w:pPr>
              <w:pStyle w:val="null3"/>
            </w:pPr>
            <w:r>
              <w:rPr/>
              <w:t>资格文件</w:t>
            </w:r>
          </w:p>
        </w:tc>
      </w:tr>
      <w:tr>
        <w:tc>
          <w:tcPr>
            <w:tcW w:type="dxa" w:w="831"/>
          </w:tcPr>
          <w:p>
            <w:pPr>
              <w:pStyle w:val="null3"/>
            </w:pPr>
            <w:r>
              <w:rPr/>
              <w:t>2</w:t>
            </w:r>
          </w:p>
        </w:tc>
        <w:tc>
          <w:tcPr>
            <w:tcW w:type="dxa" w:w="2492"/>
          </w:tcPr>
          <w:p>
            <w:pPr>
              <w:pStyle w:val="null3"/>
            </w:pPr>
            <w:r>
              <w:rPr/>
              <w:t>行业资质</w:t>
            </w:r>
          </w:p>
        </w:tc>
        <w:tc>
          <w:tcPr>
            <w:tcW w:type="dxa" w:w="3322"/>
          </w:tcPr>
          <w:p>
            <w:pPr>
              <w:pStyle w:val="null3"/>
            </w:pPr>
            <w:r>
              <w:rPr/>
              <w:t>供应商须具备行政主管部门颁发的乙级及以上测绘资质。</w:t>
            </w:r>
          </w:p>
        </w:tc>
        <w:tc>
          <w:tcPr>
            <w:tcW w:type="dxa" w:w="1661"/>
          </w:tcPr>
          <w:p>
            <w:pPr>
              <w:pStyle w:val="null3"/>
            </w:pPr>
            <w:r>
              <w:rPr/>
              <w:t>资格文件</w:t>
            </w:r>
          </w:p>
        </w:tc>
      </w:tr>
      <w:tr>
        <w:tc>
          <w:tcPr>
            <w:tcW w:type="dxa" w:w="831"/>
          </w:tcPr>
          <w:p>
            <w:pPr>
              <w:pStyle w:val="null3"/>
            </w:pPr>
            <w:r>
              <w:rPr/>
              <w:t>3</w:t>
            </w:r>
          </w:p>
        </w:tc>
        <w:tc>
          <w:tcPr>
            <w:tcW w:type="dxa" w:w="2492"/>
          </w:tcPr>
          <w:p>
            <w:pPr>
              <w:pStyle w:val="null3"/>
            </w:pPr>
            <w:r>
              <w:rPr/>
              <w:t>法定代表人授权书</w:t>
            </w:r>
          </w:p>
        </w:tc>
        <w:tc>
          <w:tcPr>
            <w:tcW w:type="dxa" w:w="3322"/>
          </w:tcPr>
          <w:p>
            <w:pPr>
              <w:pStyle w:val="null3"/>
            </w:pPr>
            <w:r>
              <w:rPr/>
              <w:t>法定代表人授权书（附法定代表人、被授权人身份证复印件）及被授权人身份证（法定代表人参加投标只需提供本人身份证）；</w:t>
            </w:r>
          </w:p>
        </w:tc>
        <w:tc>
          <w:tcPr>
            <w:tcW w:type="dxa" w:w="1661"/>
          </w:tcPr>
          <w:p>
            <w:pPr>
              <w:pStyle w:val="null3"/>
            </w:pPr>
            <w:r>
              <w:rPr/>
              <w:t>资格文件</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财务状况报告：提供2023年的财务审计报告（至少包括资产负债表和利润表，成立时间至提交投标文件截止时间不足一年的可提供成立后任意时段的资产负债表）或开标前三个月内基本存款账户开户银行开具的资信证明；</w:t>
            </w:r>
          </w:p>
        </w:tc>
        <w:tc>
          <w:tcPr>
            <w:tcW w:type="dxa" w:w="1661"/>
          </w:tcPr>
          <w:p>
            <w:pPr>
              <w:pStyle w:val="null3"/>
            </w:pPr>
            <w:r>
              <w:rPr/>
              <w:t>资格文件</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税收缴纳证明：自2023年1月1日以来已缴纳的至少一个月的纳税证明或完税证明（提供增值税、营业税、企业所得税至少一种），纳税证明或完税证明上应有代收机构或税务机关的公章或业务专用章。依法免税的供应商应提供相关文件证明（复印件加盖供应商公章）；</w:t>
            </w:r>
          </w:p>
        </w:tc>
        <w:tc>
          <w:tcPr>
            <w:tcW w:type="dxa" w:w="1661"/>
          </w:tcPr>
          <w:p>
            <w:pPr>
              <w:pStyle w:val="null3"/>
            </w:pPr>
            <w:r>
              <w:rPr/>
              <w:t>资格文件</w:t>
            </w:r>
          </w:p>
        </w:tc>
      </w:tr>
      <w:tr>
        <w:tc>
          <w:tcPr>
            <w:tcW w:type="dxa" w:w="831"/>
          </w:tcPr>
          <w:p>
            <w:pPr>
              <w:pStyle w:val="null3"/>
            </w:pPr>
            <w:r>
              <w:rPr/>
              <w:t>6</w:t>
            </w:r>
          </w:p>
        </w:tc>
        <w:tc>
          <w:tcPr>
            <w:tcW w:type="dxa" w:w="2492"/>
          </w:tcPr>
          <w:p>
            <w:pPr>
              <w:pStyle w:val="null3"/>
            </w:pPr>
            <w:r>
              <w:rPr/>
              <w:t>社保缴纳证明</w:t>
            </w:r>
          </w:p>
        </w:tc>
        <w:tc>
          <w:tcPr>
            <w:tcW w:type="dxa" w:w="3322"/>
          </w:tcPr>
          <w:p>
            <w:pPr>
              <w:pStyle w:val="null3"/>
            </w:pPr>
            <w:r>
              <w:rPr/>
              <w:t>社保缴纳证明：自2023年1月1日以来已缴存的至少一个月的社会保障资金缴存单据或社保机构开具的社会保险参保缴费情况证明。依法不需要缴纳社会保障资金的供应商应提供相关文件证明；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t>资格文件</w:t>
            </w:r>
          </w:p>
        </w:tc>
      </w:tr>
      <w:tr>
        <w:tc>
          <w:tcPr>
            <w:tcW w:type="dxa" w:w="831"/>
          </w:tcPr>
          <w:p>
            <w:pPr>
              <w:pStyle w:val="null3"/>
            </w:pPr>
            <w:r>
              <w:rPr/>
              <w:t>7</w:t>
            </w:r>
          </w:p>
        </w:tc>
        <w:tc>
          <w:tcPr>
            <w:tcW w:type="dxa" w:w="2492"/>
          </w:tcPr>
          <w:p>
            <w:pPr>
              <w:pStyle w:val="null3"/>
            </w:pPr>
            <w:r>
              <w:rPr/>
              <w:t>网页截图</w:t>
            </w:r>
          </w:p>
        </w:tc>
        <w:tc>
          <w:tcPr>
            <w:tcW w:type="dxa" w:w="3322"/>
          </w:tcPr>
          <w:p>
            <w:pPr>
              <w:pStyle w:val="null3"/>
            </w:pPr>
            <w:r>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t>资格文件</w:t>
            </w:r>
          </w:p>
        </w:tc>
      </w:tr>
      <w:tr>
        <w:tc>
          <w:tcPr>
            <w:tcW w:type="dxa" w:w="831"/>
          </w:tcPr>
          <w:p>
            <w:pPr>
              <w:pStyle w:val="null3"/>
            </w:pPr>
            <w:r>
              <w:rPr/>
              <w:t>8</w:t>
            </w:r>
          </w:p>
        </w:tc>
        <w:tc>
          <w:tcPr>
            <w:tcW w:type="dxa" w:w="2492"/>
          </w:tcPr>
          <w:p>
            <w:pPr>
              <w:pStyle w:val="null3"/>
            </w:pPr>
            <w:r>
              <w:rPr/>
              <w:t>无联合体</w:t>
            </w:r>
          </w:p>
        </w:tc>
        <w:tc>
          <w:tcPr>
            <w:tcW w:type="dxa" w:w="3322"/>
          </w:tcPr>
          <w:p>
            <w:pPr>
              <w:pStyle w:val="null3"/>
            </w:pPr>
            <w:r>
              <w:rPr/>
              <w:t>无联合体投标承诺函；</w:t>
            </w:r>
          </w:p>
        </w:tc>
        <w:tc>
          <w:tcPr>
            <w:tcW w:type="dxa" w:w="1661"/>
          </w:tcPr>
          <w:p>
            <w:pPr>
              <w:pStyle w:val="null3"/>
            </w:pPr>
            <w:r>
              <w:rPr/>
              <w:t>资格文件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5.3评标方法</w:t>
      </w:r>
    </w:p>
    <w:p>
      <w:pPr>
        <w:pStyle w:val="null3"/>
      </w:pPr>
      <w:r>
        <w:rPr/>
        <w:t>采购包1：综合评分法</w:t>
      </w:r>
    </w:p>
    <w:p>
      <w:pPr>
        <w:pStyle w:val="null3"/>
      </w:pPr>
      <w:r>
        <w:rPr/>
        <w:t>采购包2：综合评分法</w:t>
      </w:r>
    </w:p>
    <w:p>
      <w:pPr>
        <w:pStyle w:val="null3"/>
        <w:outlineLvl w:val="2"/>
      </w:pPr>
      <w:r>
        <w:rPr>
          <w:sz w:val="28"/>
          <w:b/>
        </w:rPr>
        <w:t>5.4评标程序</w:t>
      </w:r>
    </w:p>
    <w:p>
      <w:pPr>
        <w:pStyle w:val="null3"/>
        <w:outlineLvl w:val="3"/>
      </w:pPr>
      <w:r>
        <w:rPr>
          <w:sz w:val="24"/>
          <w:b/>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响应文件格式</w:t>
            </w:r>
          </w:p>
        </w:tc>
        <w:tc>
          <w:tcPr>
            <w:tcW w:type="dxa" w:w="3322"/>
          </w:tcPr>
          <w:p>
            <w:pPr>
              <w:pStyle w:val="null3"/>
            </w:pPr>
            <w:r>
              <w:rPr/>
              <w:t>符合“磋商响应文件格式”的要求，按竞争性磋商文件规定格式填报了所有相关数据，字迹清晰可辨，并符合竞争性磋商文件其他规定。</w:t>
            </w:r>
          </w:p>
        </w:tc>
        <w:tc>
          <w:tcPr>
            <w:tcW w:type="dxa" w:w="1661"/>
          </w:tcPr>
          <w:p>
            <w:pPr>
              <w:pStyle w:val="null3"/>
            </w:pPr>
            <w:r>
              <w:rPr/>
              <w:t>开标一览表 方案 投标函 中小企业声明函 残疾人福利性单位声明函 标的清单 投标文件封面 资格文件 监狱企业的证明文件</w:t>
            </w:r>
          </w:p>
        </w:tc>
      </w:tr>
      <w:tr>
        <w:tc>
          <w:tcPr>
            <w:tcW w:type="dxa" w:w="831"/>
          </w:tcPr>
          <w:p>
            <w:pPr>
              <w:pStyle w:val="null3"/>
            </w:pPr>
            <w:r>
              <w:rPr/>
              <w:t>3</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投标函</w:t>
            </w:r>
          </w:p>
        </w:tc>
      </w:tr>
      <w:tr>
        <w:tc>
          <w:tcPr>
            <w:tcW w:type="dxa" w:w="831"/>
          </w:tcPr>
          <w:p>
            <w:pPr>
              <w:pStyle w:val="null3"/>
            </w:pPr>
            <w:r>
              <w:rPr/>
              <w:t>4</w:t>
            </w:r>
          </w:p>
        </w:tc>
        <w:tc>
          <w:tcPr>
            <w:tcW w:type="dxa" w:w="2492"/>
          </w:tcPr>
          <w:p>
            <w:pPr>
              <w:pStyle w:val="null3"/>
            </w:pPr>
            <w:r>
              <w:rPr/>
              <w:t>服务期</w:t>
            </w:r>
          </w:p>
        </w:tc>
        <w:tc>
          <w:tcPr>
            <w:tcW w:type="dxa" w:w="3322"/>
          </w:tcPr>
          <w:p>
            <w:pPr>
              <w:pStyle w:val="null3"/>
            </w:pPr>
            <w:r>
              <w:rPr/>
              <w:t>30天</w:t>
            </w:r>
          </w:p>
        </w:tc>
        <w:tc>
          <w:tcPr>
            <w:tcW w:type="dxa" w:w="1661"/>
          </w:tcPr>
          <w:p>
            <w:pPr>
              <w:pStyle w:val="null3"/>
            </w:pPr>
            <w:r>
              <w:rPr/>
              <w:t>标的清单</w:t>
            </w:r>
          </w:p>
        </w:tc>
      </w:tr>
      <w:tr>
        <w:tc>
          <w:tcPr>
            <w:tcW w:type="dxa" w:w="831"/>
          </w:tcPr>
          <w:p>
            <w:pPr>
              <w:pStyle w:val="null3"/>
            </w:pPr>
            <w:r>
              <w:rPr/>
              <w:t>5</w:t>
            </w:r>
          </w:p>
        </w:tc>
        <w:tc>
          <w:tcPr>
            <w:tcW w:type="dxa" w:w="2492"/>
          </w:tcPr>
          <w:p>
            <w:pPr>
              <w:pStyle w:val="null3"/>
            </w:pPr>
            <w:r>
              <w:rPr/>
              <w:t>响应文件签字及盖章</w:t>
            </w:r>
          </w:p>
        </w:tc>
        <w:tc>
          <w:tcPr>
            <w:tcW w:type="dxa" w:w="3322"/>
          </w:tcPr>
          <w:p>
            <w:pPr>
              <w:pStyle w:val="null3"/>
            </w:pPr>
            <w:r>
              <w:rPr/>
              <w:t>符合竞争性磋商文件要求。</w:t>
            </w:r>
          </w:p>
        </w:tc>
        <w:tc>
          <w:tcPr>
            <w:tcW w:type="dxa" w:w="1661"/>
          </w:tcPr>
          <w:p>
            <w:pPr>
              <w:pStyle w:val="null3"/>
            </w:pPr>
            <w:r>
              <w:rPr/>
              <w:t>开标一览表 方案 投标函 中小企业声明函 残疾人福利性单位声明函 标的清单 投标文件封面 资格文件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响应文件格式</w:t>
            </w:r>
          </w:p>
        </w:tc>
        <w:tc>
          <w:tcPr>
            <w:tcW w:type="dxa" w:w="3322"/>
          </w:tcPr>
          <w:p>
            <w:pPr>
              <w:pStyle w:val="null3"/>
            </w:pPr>
            <w:r>
              <w:rPr/>
              <w:t>符合“磋商响应文件格式”的要求，按竞争性磋商文件规定格式填报了所有相关数据，字迹清晰可辨，并符合竞争性磋商文件其他规定。</w:t>
            </w:r>
          </w:p>
        </w:tc>
        <w:tc>
          <w:tcPr>
            <w:tcW w:type="dxa" w:w="1661"/>
          </w:tcPr>
          <w:p>
            <w:pPr>
              <w:pStyle w:val="null3"/>
            </w:pPr>
            <w:r>
              <w:rPr/>
              <w:t>开标一览表 方案 投标函 中小企业声明函 残疾人福利性单位声明函 标的清单 投标文件封面 资格文件 监狱企业的证明文件</w:t>
            </w:r>
          </w:p>
        </w:tc>
      </w:tr>
      <w:tr>
        <w:tc>
          <w:tcPr>
            <w:tcW w:type="dxa" w:w="831"/>
          </w:tcPr>
          <w:p>
            <w:pPr>
              <w:pStyle w:val="null3"/>
            </w:pPr>
            <w:r>
              <w:rPr/>
              <w:t>3</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投标函</w:t>
            </w:r>
          </w:p>
        </w:tc>
      </w:tr>
      <w:tr>
        <w:tc>
          <w:tcPr>
            <w:tcW w:type="dxa" w:w="831"/>
          </w:tcPr>
          <w:p>
            <w:pPr>
              <w:pStyle w:val="null3"/>
            </w:pPr>
            <w:r>
              <w:rPr/>
              <w:t>4</w:t>
            </w:r>
          </w:p>
        </w:tc>
        <w:tc>
          <w:tcPr>
            <w:tcW w:type="dxa" w:w="2492"/>
          </w:tcPr>
          <w:p>
            <w:pPr>
              <w:pStyle w:val="null3"/>
            </w:pPr>
            <w:r>
              <w:rPr/>
              <w:t>服务期</w:t>
            </w:r>
          </w:p>
        </w:tc>
        <w:tc>
          <w:tcPr>
            <w:tcW w:type="dxa" w:w="3322"/>
          </w:tcPr>
          <w:p>
            <w:pPr>
              <w:pStyle w:val="null3"/>
            </w:pPr>
            <w:r>
              <w:rPr/>
              <w:t>30天</w:t>
            </w:r>
          </w:p>
        </w:tc>
        <w:tc>
          <w:tcPr>
            <w:tcW w:type="dxa" w:w="1661"/>
          </w:tcPr>
          <w:p>
            <w:pPr>
              <w:pStyle w:val="null3"/>
            </w:pPr>
            <w:r>
              <w:rPr/>
              <w:t>标的清单</w:t>
            </w:r>
          </w:p>
        </w:tc>
      </w:tr>
      <w:tr>
        <w:tc>
          <w:tcPr>
            <w:tcW w:type="dxa" w:w="831"/>
          </w:tcPr>
          <w:p>
            <w:pPr>
              <w:pStyle w:val="null3"/>
            </w:pPr>
            <w:r>
              <w:rPr/>
              <w:t>5</w:t>
            </w:r>
          </w:p>
        </w:tc>
        <w:tc>
          <w:tcPr>
            <w:tcW w:type="dxa" w:w="2492"/>
          </w:tcPr>
          <w:p>
            <w:pPr>
              <w:pStyle w:val="null3"/>
            </w:pPr>
            <w:r>
              <w:rPr/>
              <w:t>响应文件签字及盖章</w:t>
            </w:r>
          </w:p>
        </w:tc>
        <w:tc>
          <w:tcPr>
            <w:tcW w:type="dxa" w:w="3322"/>
          </w:tcPr>
          <w:p>
            <w:pPr>
              <w:pStyle w:val="null3"/>
            </w:pPr>
            <w:r>
              <w:rPr/>
              <w:t>符合竞争性磋商文件要求。</w:t>
            </w:r>
          </w:p>
        </w:tc>
        <w:tc>
          <w:tcPr>
            <w:tcW w:type="dxa" w:w="1661"/>
          </w:tcPr>
          <w:p>
            <w:pPr>
              <w:pStyle w:val="null3"/>
            </w:pPr>
            <w:r>
              <w:rPr/>
              <w:t>开标一览表 方案 投标函 中小企业声明函 残疾人福利性单位声明函 标的清单 投标文件封面 资格文件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方案及内容</w:t>
            </w:r>
          </w:p>
        </w:tc>
        <w:tc>
          <w:tcPr>
            <w:tcW w:type="dxa" w:w="2492"/>
          </w:tcPr>
          <w:p>
            <w:pPr>
              <w:pStyle w:val="null3"/>
            </w:pPr>
            <w:r>
              <w:rPr/>
              <w:t>工作方案：供应商能充分了解本项目需求和实施特点，理解本项目的采购需求，了解实施背景等，提供针对本项目的整体思路及整体服务方案。 工作方案全面详尽、科学合理、切实可行、完全符合本项目实际需求，且注重方案时效性，计 20-30 分；方案基本完整、基本合理可行、符合本项目实际需求，比较注重方案时效性，10-19 分；方案不够完整，基本符合项目需求，方案时效性较弱，计1-9分；缺项得0。</w:t>
            </w:r>
          </w:p>
        </w:tc>
        <w:tc>
          <w:tcPr>
            <w:tcW w:type="dxa" w:w="831"/>
          </w:tcPr>
          <w:p>
            <w:pPr>
              <w:pStyle w:val="null3"/>
              <w:jc w:val="right"/>
            </w:pPr>
            <w:r>
              <w:rPr/>
              <w:t>30.0000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服务质量、 保密等保证措施</w:t>
            </w:r>
          </w:p>
        </w:tc>
        <w:tc>
          <w:tcPr>
            <w:tcW w:type="dxa" w:w="2492"/>
          </w:tcPr>
          <w:p>
            <w:pPr>
              <w:pStyle w:val="null3"/>
            </w:pPr>
            <w:r>
              <w:rPr/>
              <w:t>1.质量、保密等保证措施：质量保证体系健全、控制程序规范、保证措施得当， 可实施性强：计7-10 分；质量保证体系基本健全、控制程序基本规范、可实施性一般，计 4-6 分；质量保证体系不健全、控制程序不规范或可实施性勉强可以得1-3分。缺项得0。 2.保密体系健全、保密措施严谨、全面，计 7-10分； 保密体系基本健全、保密措施一般、无漏洞，计4-6分；保密体系不健全、保密措施有漏洞，得 1-3分。 缺项得0。</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项目进度计划方案</w:t>
            </w:r>
          </w:p>
        </w:tc>
        <w:tc>
          <w:tcPr>
            <w:tcW w:type="dxa" w:w="2492"/>
          </w:tcPr>
          <w:p>
            <w:pPr>
              <w:pStyle w:val="null3"/>
            </w:pPr>
            <w:r>
              <w:rPr/>
              <w:t>提供详细的进度计划方案，有具体的时间进度控制和服务安排，能够在规定时间内，高效、详细、准确的完成，进度计划合理，工作内容和时间节点明确；方案科学、合理、完善、可行性强、 完全满足采购文件的得7-10分；方案内容一般，可行性不强的得4-6分；方案有缺陷、内容不完善，基本没什么可行性的得1-3分，缺项得0。</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售后服务</w:t>
            </w:r>
          </w:p>
        </w:tc>
        <w:tc>
          <w:tcPr>
            <w:tcW w:type="dxa" w:w="2492"/>
          </w:tcPr>
          <w:p>
            <w:pPr>
              <w:pStyle w:val="null3"/>
            </w:pPr>
            <w:r>
              <w:rPr/>
              <w:t>售后服务方案详细，具体，合理可行（包括但不限于有完善的服务体系、技术支持能力、项目交付采购人后出现问题响应时间、拟投入售后服务人员配置情况等）。售后服务方案详细明确，售后服务体系完善，技术支持能力强，服务响应快，能为采购人提供优质的售后服务的得7-10分；售后服务体系基本能满足采购要求，但技术支持能力较差、服务响应基本满足要求得4-6分；售后服务体系不完整，技术支持能力较差、服务响应慢得1-3分，缺项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服务团队岗位设置及人员 业务能力</w:t>
            </w:r>
          </w:p>
        </w:tc>
        <w:tc>
          <w:tcPr>
            <w:tcW w:type="dxa" w:w="2492"/>
          </w:tcPr>
          <w:p>
            <w:pPr>
              <w:pStyle w:val="null3"/>
            </w:pPr>
            <w:r>
              <w:rPr/>
              <w:t>1、服务团队岗位设置 （1）.组织结构健全，有完善的岗位制度和岗位职责，人员安排合理、分工明确，可操作性强，得5分； （2）.供应商组织结构较为健全，有较为完善的岗位制度和岗位职责，人员安排及分工较为合理，具有一定的操作性，得3分； （3）.供应商组织结构不够健全，岗位制度和岗位职责不够完善，得1分； （4）.未提供或方案偏差过大得0分。 2、人员业务能力证明文件 根据拟派服务团队的人员数量、专业技术能力、从业经历等赋分。 （1）.人员经验丰富、配备合理充足，证明材料齐全得5分； （2）.人员有一定 经验、人员配备无严重缺漏，但有 证明材料得3分； （3）.人员缺乏经验 、配备情况无法充分完成服务工作 ，且证明材料不足得1分； （4）.未提供或人员配备完全无法胜任本项目 工作的得0分。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机构和制度 建设</w:t>
            </w:r>
          </w:p>
        </w:tc>
        <w:tc>
          <w:tcPr>
            <w:tcW w:type="dxa" w:w="2492"/>
          </w:tcPr>
          <w:p>
            <w:pPr>
              <w:pStyle w:val="null3"/>
            </w:pPr>
            <w:r>
              <w:rPr/>
              <w:t>提供针对本项目拟定的管理机构、工作职能组织运行图、岗位职责制度等，管理责任清晰，日常管理制度完善、程序规范。进行赋分1-4分； 未提供的得 0 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业绩</w:t>
            </w:r>
          </w:p>
        </w:tc>
        <w:tc>
          <w:tcPr>
            <w:tcW w:type="dxa" w:w="2492"/>
          </w:tcPr>
          <w:p>
            <w:pPr>
              <w:pStyle w:val="null3"/>
            </w:pPr>
            <w:r>
              <w:rPr/>
              <w:t>提供供应商2022年1月至今类似业绩，每提供一个计2分，满分6分。（以合同或中标通知书为准）未提供的得 0 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招标文件要求的最低投标评审价为评标基准价，其价格为满分。其他供应商的价格分统一按照下列公式计算：投标报价得分=(评标基准价／投标评审价)×10%×100（保留小数点后两位，小数点后第三位“四舍五入”）</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方案及内容</w:t>
            </w:r>
          </w:p>
        </w:tc>
        <w:tc>
          <w:tcPr>
            <w:tcW w:type="dxa" w:w="2492"/>
          </w:tcPr>
          <w:p>
            <w:pPr>
              <w:pStyle w:val="null3"/>
            </w:pPr>
            <w:r>
              <w:rPr/>
              <w:t>工作方案：供应商能充分了解本项目需求和实施特点，理解本项目的采购需求，了解实施背景等，提供针对本项目的整体思路及整体服务方案。 工作方案全面详尽、科学合理、切实可行、完全符合本项目实际需求，且注重方案时效性，计 20-30 分；方案基本完整、基本合理可行、符合本项目实际需求，比较注重方案时效性，10-19 分；方案不够完整，基本符合项目需求，方案时效性较弱，计1-9分；缺项得0。</w:t>
            </w:r>
          </w:p>
        </w:tc>
        <w:tc>
          <w:tcPr>
            <w:tcW w:type="dxa" w:w="831"/>
          </w:tcPr>
          <w:p>
            <w:pPr>
              <w:pStyle w:val="null3"/>
              <w:jc w:val="right"/>
            </w:pPr>
            <w:r>
              <w:rPr/>
              <w:t>30.0000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服务质量、 保密等保证措施</w:t>
            </w:r>
          </w:p>
        </w:tc>
        <w:tc>
          <w:tcPr>
            <w:tcW w:type="dxa" w:w="2492"/>
          </w:tcPr>
          <w:p>
            <w:pPr>
              <w:pStyle w:val="null3"/>
            </w:pPr>
            <w:r>
              <w:rPr/>
              <w:t>1.质量、保密等保证措施：质量保证体系健全、控制程序规范、保证措施得当， 可实施性强：计7-10 分；质量保证体系基本健全、控制程序基本规范、可实施性一般，计 4-6 分；质量保证体系不健全、控制程序不规范或可实施性勉强可以得1-3分。缺项得0。 2.保密体系健全、保密措施严谨、全面，计 7-10分； 保密体系基本健全、保密措施一般、无漏洞，计4-6分；保密体系不健全、保密措施有漏洞，得 1-3分。 缺项得0。</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项目进度计划方案</w:t>
            </w:r>
          </w:p>
        </w:tc>
        <w:tc>
          <w:tcPr>
            <w:tcW w:type="dxa" w:w="2492"/>
          </w:tcPr>
          <w:p>
            <w:pPr>
              <w:pStyle w:val="null3"/>
            </w:pPr>
            <w:r>
              <w:rPr/>
              <w:t>提供详细的进度计划方案，有具体的时间进度控制和服务安排，能够在规定时间内，高效、详细、准确的完成，进度计划合理，工作内容和时间节点明确；方案科学、合理、完善、可行性强、 完全满足采购文件的得7-10分；方案内容一般，可行性不强的得4-6分；方案有缺陷、内容不完善，基本没什么可行性的得1-3分，缺项得0。</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售后服务</w:t>
            </w:r>
          </w:p>
        </w:tc>
        <w:tc>
          <w:tcPr>
            <w:tcW w:type="dxa" w:w="2492"/>
          </w:tcPr>
          <w:p>
            <w:pPr>
              <w:pStyle w:val="null3"/>
            </w:pPr>
            <w:r>
              <w:rPr/>
              <w:t>售后服务方案详细，具体，合理可行（包括但不限于有完善的服务体系、技术支持能力、项目交付采购人后出现问题响应时间、拟投入售后服务人员配置情况等）。售后服务方案详细明确，售后服务体系完善，技术支持能力强，服务响应快，能为采购人提供优质的售后服务的得7-10分；售后服务体系基本能满足采购要求，但技术支持能力较差、服务响应基本满足要求得4-6分；售后服务体系不完整，技术支持能力较差、服务响应慢得1-3分，缺项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服务团队岗位设置及人员 业务能力</w:t>
            </w:r>
          </w:p>
        </w:tc>
        <w:tc>
          <w:tcPr>
            <w:tcW w:type="dxa" w:w="2492"/>
          </w:tcPr>
          <w:p>
            <w:pPr>
              <w:pStyle w:val="null3"/>
            </w:pPr>
            <w:r>
              <w:rPr/>
              <w:t>1、服务团队岗位设置 （1）.组织结构健全，有完善的岗位制度和岗位职责，人员安排合理、分工明确，可操作性强，得5分； （2）.供应商组织结构较为健全，有较为完善的岗位制度和岗位职责，人员安排及分工较为合理，具有一定的操作性，得3分； （3）.供应商组织结构不够健全，岗位制度和岗位职责不够完善，得1分； （4）.未提供或方案偏差过大得0分。 2、人员业务能力证明文件 根据拟派服务团队的人员数量、专业技术能力、从业经历等赋分。 （1）.人员经验丰富、配备合理充足，证明材料齐全得5分； （2）.人员有一定 经验、人员配备无严重缺漏，但有 证明材料得3分； （3）.人员缺乏经验 、配备情况无法充分完成服务工作 ，且证明材料不足得1分； （4）.未提供或人员配备完全无法胜任本项目 工作的得0分。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机构和制度 建设</w:t>
            </w:r>
          </w:p>
        </w:tc>
        <w:tc>
          <w:tcPr>
            <w:tcW w:type="dxa" w:w="2492"/>
          </w:tcPr>
          <w:p>
            <w:pPr>
              <w:pStyle w:val="null3"/>
            </w:pPr>
            <w:r>
              <w:rPr/>
              <w:t>提供针对本项目拟定的管理机构、工作职能组织运行图、岗位职责制度等，管理责任清晰，日常管理制度完善、程序规范。进行赋分1-4分； 未提供的得 0 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业绩</w:t>
            </w:r>
          </w:p>
        </w:tc>
        <w:tc>
          <w:tcPr>
            <w:tcW w:type="dxa" w:w="2492"/>
          </w:tcPr>
          <w:p>
            <w:pPr>
              <w:pStyle w:val="null3"/>
            </w:pPr>
            <w:r>
              <w:rPr/>
              <w:t>提供供应商2022年1月至今类似业绩，每提供一个计2分，满分6分。（以合同或中标通知书为准）未提供的得 0 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招标文件要求的最低投标评审价为评标基准价，其价格为满分。其他供应商的价格分统一按照下列公式计算：投标报价得分=(评标基准价／投标评审价)×10%×100（保留小数点后两位，小数点后第三位“四舍五入”）</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第6章投标文件格式</w:t>
      </w:r>
    </w:p>
    <w:p>
      <w:pPr>
        <w:pStyle w:val="null3"/>
        <w:outlineLvl w:val="2"/>
      </w:pPr>
      <w:r>
        <w:rPr>
          <w:sz w:val="28"/>
          <w:b/>
        </w:rPr>
        <w:t>6.1投标文件封面格式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详见附件：方案</w:t>
      </w:r>
    </w:p>
    <w:p>
      <w:pPr>
        <w:pStyle w:val="null3"/>
        <w:ind w:firstLine="960"/>
      </w:pPr>
      <w:r>
        <w:rPr/>
        <w:t>详见附件：资格文件</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详见附件：方案</w:t>
      </w:r>
    </w:p>
    <w:p>
      <w:pPr>
        <w:pStyle w:val="null3"/>
        <w:ind w:firstLine="960"/>
      </w:pPr>
      <w:r>
        <w:rPr/>
        <w:t>详见附件：资格文件</w:t>
      </w:r>
    </w:p>
    <w:p>
      <w:pPr>
        <w:pStyle w:val="null3"/>
      </w:pPr>
      <w:r>
        <w:rPr/>
        <w:t xml:space="preserve"> </w:t>
        <w:br/>
        <w:br w:type="page"/>
      </w:r>
    </w:p>
    <w:p>
      <w:pPr>
        <w:pStyle w:val="null3"/>
        <w:jc w:val="center"/>
        <w:outlineLvl w:val="1"/>
      </w:pPr>
      <w:r>
        <w:rPr>
          <w:sz w:val="36"/>
          <w:b/>
        </w:rPr>
        <w:t>第7章 拟签订采购合同文本</w:t>
      </w:r>
    </w:p>
    <w:p>
      <w:pPr>
        <w:pStyle w:val="null3"/>
      </w:pPr>
      <w:r>
        <w:rPr/>
        <w:t>详见附件：合同.doc.docx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