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版本号：241125002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铜川市档案馆爱国主义教育基地展厅工程</w:t>
      </w:r>
    </w:p>
    <w:p>
      <w:pPr>
        <w:pStyle w:val="null3"/>
        <w:jc w:val="center"/>
        <w:outlineLvl w:val="2"/>
      </w:pPr>
      <w:r>
        <w:rPr>
          <w:sz w:val="28"/>
          <w:b/>
        </w:rPr>
        <w:t>采购项目编号：</w:t>
      </w:r>
      <w:r>
        <w:rPr>
          <w:sz w:val="28"/>
          <w:b/>
        </w:rPr>
        <w:t>SZTCS-XA-241121-GC</w:t>
      </w:r>
      <w:r>
        <w:br/>
      </w:r>
      <w:r>
        <w:br/>
      </w:r>
      <w:r>
        <w:br/>
      </w:r>
    </w:p>
    <w:p>
      <w:pPr>
        <w:pStyle w:val="null3"/>
        <w:jc w:val="center"/>
        <w:outlineLvl w:val="2"/>
      </w:pPr>
      <w:r>
        <w:rPr>
          <w:sz w:val="28"/>
          <w:b/>
        </w:rPr>
        <w:t>铜川市档案局</w:t>
      </w:r>
    </w:p>
    <w:p>
      <w:pPr>
        <w:pStyle w:val="null3"/>
        <w:jc w:val="center"/>
        <w:outlineLvl w:val="2"/>
      </w:pPr>
      <w:r>
        <w:rPr>
          <w:sz w:val="28"/>
          <w:b/>
        </w:rPr>
        <w:t>陕西省中投招标有限责任公司</w:t>
      </w:r>
      <w:r>
        <w:rPr>
          <w:sz w:val="28"/>
          <w:b/>
        </w:rPr>
        <w:t>共同编制</w:t>
      </w:r>
    </w:p>
    <w:p>
      <w:pPr>
        <w:pStyle w:val="null3"/>
        <w:jc w:val="center"/>
        <w:outlineLvl w:val="2"/>
      </w:pPr>
      <w:r>
        <w:rPr>
          <w:sz w:val="28"/>
          <w:b/>
        </w:rPr>
        <w:t>2024年11月25日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陕西省中投招标有限责任公司</w:t>
      </w:r>
      <w:r>
        <w:rPr/>
        <w:t>（以下简称“代理机构”）受</w:t>
      </w:r>
      <w:r>
        <w:rPr/>
        <w:t>铜川市档案局</w:t>
      </w:r>
      <w:r>
        <w:rPr/>
        <w:t>委托，拟对</w:t>
      </w:r>
      <w:r>
        <w:rPr/>
        <w:t>铜川市档案馆爱国主义教育基地展厅工程</w:t>
      </w:r>
      <w:r>
        <w:rPr/>
        <w:t>采用竞争性磋商采购方式进行采购，兹邀请供应商参加本项目的竞争性磋商。</w:t>
      </w:r>
    </w:p>
    <w:p>
      <w:pPr>
        <w:pStyle w:val="null3"/>
        <w:outlineLvl w:val="2"/>
      </w:pPr>
      <w:r>
        <w:rPr>
          <w:sz w:val="28"/>
          <w:b/>
        </w:rPr>
        <w:t>一、采购项目编号：</w:t>
      </w:r>
      <w:r>
        <w:rPr>
          <w:sz w:val="28"/>
          <w:b/>
        </w:rPr>
        <w:t>SZTCS-XA-241121-GC</w:t>
      </w:r>
    </w:p>
    <w:p>
      <w:pPr>
        <w:pStyle w:val="null3"/>
        <w:outlineLvl w:val="2"/>
      </w:pPr>
      <w:r>
        <w:rPr>
          <w:sz w:val="28"/>
          <w:b/>
        </w:rPr>
        <w:t>二、采购项目名称：</w:t>
      </w:r>
      <w:r>
        <w:rPr>
          <w:sz w:val="28"/>
          <w:b/>
        </w:rPr>
        <w:t>铜川市档案馆爱国主义教育基地展厅工程</w:t>
      </w:r>
    </w:p>
    <w:p>
      <w:pPr>
        <w:pStyle w:val="null3"/>
        <w:outlineLvl w:val="2"/>
      </w:pPr>
      <w:r>
        <w:rPr>
          <w:sz w:val="28"/>
          <w:b/>
        </w:rPr>
        <w:t>三、磋商项目简介</w:t>
      </w:r>
    </w:p>
    <w:p>
      <w:pPr>
        <w:pStyle w:val="null3"/>
        <w:ind w:firstLine="480"/>
      </w:pPr>
      <w:r>
        <w:rPr/>
        <w:t>铜川市档案馆位于铜川市档案馆3楼，建筑面积212平方米，层高3米。主要对档案馆展厅进行改造，包括拆除原有塑胶地面、墙面装饰、顶面吊顶、天花造型、射灯等；新作石材地板、展示展柜、墙面造型、现代声光展室展板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采购包1（铜川市档案馆爱国主义教育基地展厅工程）：属于专门面向中小企业采购。</w:t>
      </w:r>
    </w:p>
    <w:p>
      <w:pPr>
        <w:pStyle w:val="null3"/>
        <w:ind w:firstLine="480"/>
      </w:pPr>
      <w:r>
        <w:rPr/>
        <w:t>（三）本项目的特定资格要求：</w:t>
      </w:r>
    </w:p>
    <w:p>
      <w:pPr>
        <w:pStyle w:val="null3"/>
      </w:pPr>
      <w:r>
        <w:rPr/>
        <w:t>采购包1：</w:t>
      </w:r>
    </w:p>
    <w:p>
      <w:pPr>
        <w:pStyle w:val="null3"/>
      </w:pPr>
      <w:r>
        <w:rPr/>
        <w:t>1、营业执照：(1)根据供应商类别进行提供：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供应商需在项目电子化交易系统中按要求上传相应证明文件并进行电子签章；</w:t>
      </w:r>
    </w:p>
    <w:p>
      <w:pPr>
        <w:pStyle w:val="null3"/>
      </w:pPr>
      <w:r>
        <w:rPr/>
        <w:t>2、企业资质：供应商须具有建筑工程施工总承包三级及以上资质或建筑装修装饰工程专业承包二级及以上资质，且具有有效的安全生产许可证。供应商需在项目电子化交易系统中按要求上传相应证明文件并进行电子签章；</w:t>
      </w:r>
    </w:p>
    <w:p>
      <w:pPr>
        <w:pStyle w:val="null3"/>
      </w:pPr>
      <w:r>
        <w:rPr/>
        <w:t>3、项目负责人：拟派项目经理须具备建筑工程二级注册建造师及以上执业资格，且具备有效的安全生产考核合格证书。供应商需在项目电子化交易系统中按要求上传相应证明文件并进行电子签章；</w:t>
      </w:r>
    </w:p>
    <w:p>
      <w:pPr>
        <w:pStyle w:val="null3"/>
      </w:pPr>
      <w:r>
        <w:rPr/>
        <w:t>4、法定代表人授权委托书：法定代表人授权委托书（附法定代表人、被授权人身份证复印件并加盖公章）和被授权人身份证原件。（法定代表人参加投标只须提供法定代表人身份证明书及身份证原件）。供应商需在项目电子化交易系统中按要求上传相应证明文件并进行电子签章；</w:t>
      </w:r>
    </w:p>
    <w:p>
      <w:pPr>
        <w:pStyle w:val="null3"/>
      </w:pPr>
      <w:r>
        <w:rPr/>
        <w:t>5、财务报告：提供2023年度经审计的财务报告（成立时间至提交磋商响应文件截止时间不足一年的可提供成立后任意时段的资产负债表），或磋商截止日期前6个月内银行出具的资信证明。供应商需在项目电子化交易系统中按要求上传相应证明文件并进行电子签章；</w:t>
      </w:r>
    </w:p>
    <w:p>
      <w:pPr>
        <w:pStyle w:val="null3"/>
      </w:pPr>
      <w:r>
        <w:rPr/>
        <w:t>6、完税证明：提供磋商截止时间前6个月内的纳税证明或完税证明，依法免税的单位应提供相关证明材料。供应商需在项目电子化交易系统中按要求上传相应证明文件并进行电子签章；</w:t>
      </w:r>
    </w:p>
    <w:p>
      <w:pPr>
        <w:pStyle w:val="null3"/>
      </w:pPr>
      <w:r>
        <w:rPr/>
        <w:t>7、社保缴纳凭证：提供磋商截止时间前6个月内的社会保障资金缴存单据或社保机构开具的社会保险参保缴费情况证 明，依法不需要缴纳社会保障资金的单位应提供相关证明材料。供应商需在项目电子化交易系统中按要求上传相应证明文件并进行电子签章；</w:t>
      </w:r>
    </w:p>
    <w:p>
      <w:pPr>
        <w:pStyle w:val="null3"/>
      </w:pPr>
      <w:r>
        <w:rPr/>
        <w:t>8、无重大违法记录的书面声明：参加政府采购活动前3年内，在经营活动中没有重大违法记录的书面声明。供应商需在项目电子化交易系统中按要求上传相应证明文件并进行电子签章；</w:t>
      </w:r>
    </w:p>
    <w:p>
      <w:pPr>
        <w:pStyle w:val="null3"/>
      </w:pPr>
      <w:r>
        <w:rPr/>
        <w:t>9、企业信誉截图：供应商不得为“信用中国”网站（www.creditchina.gov.cn）中列入失信被执行人或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铜川市档案局</w:t>
      </w:r>
    </w:p>
    <w:p>
      <w:pPr>
        <w:pStyle w:val="null3"/>
      </w:pPr>
      <w:r>
        <w:rPr/>
        <w:t xml:space="preserve"> 地址： </w:t>
      </w:r>
      <w:r>
        <w:rPr/>
        <w:t>铜川市新区斯明街中段</w:t>
      </w:r>
    </w:p>
    <w:p>
      <w:pPr>
        <w:pStyle w:val="null3"/>
      </w:pPr>
      <w:r>
        <w:rPr/>
        <w:t xml:space="preserve"> 邮编： </w:t>
      </w:r>
      <w:r>
        <w:rPr/>
        <w:t>727100</w:t>
      </w:r>
    </w:p>
    <w:p>
      <w:pPr>
        <w:pStyle w:val="null3"/>
      </w:pPr>
      <w:r>
        <w:rPr/>
        <w:t xml:space="preserve"> 联系人： </w:t>
      </w:r>
      <w:r>
        <w:rPr/>
        <w:t>张鹏</w:t>
      </w:r>
    </w:p>
    <w:p>
      <w:pPr>
        <w:pStyle w:val="null3"/>
      </w:pPr>
      <w:r>
        <w:rPr/>
        <w:t xml:space="preserve"> 联系电话： </w:t>
      </w:r>
      <w:r>
        <w:rPr/>
        <w:t>09192838319</w:t>
      </w:r>
    </w:p>
    <w:p>
      <w:pPr>
        <w:pStyle w:val="null3"/>
        <w:outlineLvl w:val="3"/>
      </w:pPr>
      <w:r>
        <w:rPr>
          <w:sz w:val="24"/>
          <w:b/>
        </w:rPr>
        <w:t>代理机构：</w:t>
      </w:r>
      <w:r>
        <w:rPr>
          <w:sz w:val="24"/>
          <w:b/>
        </w:rPr>
        <w:t>陕西省中投招标有限责任公司</w:t>
      </w:r>
    </w:p>
    <w:p>
      <w:pPr>
        <w:pStyle w:val="null3"/>
      </w:pPr>
      <w:r>
        <w:rPr/>
        <w:t xml:space="preserve"> 地址： </w:t>
      </w:r>
      <w:r>
        <w:rPr/>
        <w:t>陕西省西安市莲湖区陕西省西安市莲湖区环城西路北段360号天朗时代大酒店A座六层东区</w:t>
      </w:r>
    </w:p>
    <w:p>
      <w:pPr>
        <w:pStyle w:val="null3"/>
      </w:pPr>
      <w:r>
        <w:rPr/>
        <w:t xml:space="preserve"> 邮编： </w:t>
      </w:r>
      <w:r>
        <w:rPr/>
        <w:t>710002</w:t>
      </w:r>
    </w:p>
    <w:p>
      <w:pPr>
        <w:pStyle w:val="null3"/>
      </w:pPr>
      <w:r>
        <w:rPr/>
        <w:t xml:space="preserve"> 联系人： </w:t>
      </w:r>
      <w:r>
        <w:rPr/>
        <w:t>杜艳艳</w:t>
      </w:r>
    </w:p>
    <w:p>
      <w:pPr>
        <w:pStyle w:val="null3"/>
      </w:pPr>
      <w:r>
        <w:rPr/>
        <w:t xml:space="preserve"> 联系电话： </w:t>
      </w:r>
      <w:r>
        <w:rPr/>
        <w:t>13991227376</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采购包1：1,761,349.00元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代理服务费收费标准：代理服务费参照《国家计委关于印发&lt;招标代理服务收费管理暂行办法&gt;的通知》（计价格[2002]1980号）规定的标准下浮10%，以成交金额为基数按差额定率累进法计算收取。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铜川市档案局</w:t>
      </w:r>
      <w:r>
        <w:rPr/>
        <w:t>和</w:t>
      </w:r>
      <w:r>
        <w:rPr/>
        <w:t>陕西省中投招标有限责任公司</w:t>
      </w:r>
      <w:r>
        <w:rPr/>
        <w:t>享有。对磋商文件中供应商参加本次政府采购活动应当具备的条件，磋商项目技术、服务、商务及其他要求，评审细则及标准由</w:t>
      </w:r>
      <w:r>
        <w:rPr/>
        <w:t>铜川市档案局</w:t>
      </w:r>
      <w:r>
        <w:rPr/>
        <w:t>负责解释。除上述磋商文件内容，其他内容由</w:t>
      </w:r>
      <w:r>
        <w:rPr/>
        <w:t>陕西省中投招标有限责任公司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铜川市档案局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陕西省中投招标有限责任公司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一、达到国家规定相关工程验收合格标准。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陕西省中投招标有限责任公司</w:t>
      </w:r>
      <w:r>
        <w:rPr/>
        <w:t xml:space="preserve"> 负责答复；供应商对采购过程的询问、质疑由</w:t>
      </w:r>
      <w:r>
        <w:rPr/>
        <w:t>陕西省中投招标有限责任公司</w:t>
      </w:r>
      <w:r>
        <w:rPr/>
        <w:t xml:space="preserve"> 负责答复；供应商对采购结果的询问、质疑由 </w:t>
      </w:r>
      <w:r>
        <w:rPr/>
        <w:t>陕西省中投招标有限责任公司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联系人：杜艳艳</w:t>
      </w:r>
    </w:p>
    <w:p>
      <w:pPr>
        <w:pStyle w:val="null3"/>
      </w:pPr>
      <w:r>
        <w:rPr/>
        <w:t>联系电话：13991227376</w:t>
      </w:r>
    </w:p>
    <w:p>
      <w:pPr>
        <w:pStyle w:val="null3"/>
      </w:pPr>
      <w:r>
        <w:rPr/>
        <w:t>地址：西安市环城西路天朗时代酒店A座6层东区601</w:t>
      </w:r>
    </w:p>
    <w:p>
      <w:pPr>
        <w:pStyle w:val="null3"/>
      </w:pPr>
      <w:r>
        <w:rPr/>
        <w:t>邮编：710002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1,761,349.00</w:t>
      </w:r>
    </w:p>
    <w:p>
      <w:pPr>
        <w:pStyle w:val="null3"/>
      </w:pPr>
      <w:r>
        <w:rPr/>
        <w:t>采购包最高限价（元）: 1,761,349.00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铜川市档案馆爱国主义教育基地展厅工程</w:t>
            </w:r>
          </w:p>
        </w:tc>
        <w:tc>
          <w:tcPr>
            <w:tcW w:type="dxa" w:w="1384"/>
          </w:tcPr>
          <w:p>
            <w:pPr>
              <w:pStyle w:val="null3"/>
              <w:jc w:val="right"/>
            </w:pPr>
            <w:r>
              <w:rPr/>
              <w:t>1.00</w:t>
            </w:r>
          </w:p>
        </w:tc>
        <w:tc>
          <w:tcPr>
            <w:tcW w:type="dxa" w:w="1384"/>
          </w:tcPr>
          <w:p>
            <w:pPr>
              <w:pStyle w:val="null3"/>
              <w:jc w:val="right"/>
            </w:pPr>
            <w:r>
              <w:rPr/>
              <w:t>1,761,349.00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标的名称：铜川市档案馆爱国主义教育基地展厅工程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技术、服务标准和要求：</w:t>
            </w:r>
            <w:r>
              <w:br/>
            </w:r>
            <w:r>
              <w:rPr>
                <w:rFonts w:ascii="calibri" w:hAnsi="calibri" w:cs="calibri" w:eastAsia="calibri"/>
                <w:sz w:val="21"/>
              </w:rPr>
              <w:t xml:space="preserve"> 1.</w:t>
            </w:r>
            <w:r>
              <w:rPr>
                <w:rFonts w:ascii="宋体" w:hAnsi="宋体" w:cs="宋体" w:eastAsia="宋体"/>
                <w:sz w:val="21"/>
              </w:rPr>
              <w:t>本工程的施工过程和成果必须符合国家有关工程建设标准强制性条文和国家或有关部门关于工程施工方面现行的标准、规范、规程、定额、办法、示例，以及陕西省关于工程施工方面的文件、规定。</w:t>
            </w:r>
            <w:r>
              <w:br/>
            </w:r>
            <w:r>
              <w:rPr>
                <w:rFonts w:ascii="calibri" w:hAnsi="calibri" w:cs="calibri" w:eastAsia="calibri"/>
                <w:sz w:val="21"/>
              </w:rPr>
              <w:t xml:space="preserve"> 2.</w:t>
            </w:r>
            <w:r>
              <w:rPr>
                <w:rFonts w:ascii="宋体" w:hAnsi="宋体" w:cs="宋体" w:eastAsia="宋体"/>
                <w:sz w:val="21"/>
              </w:rPr>
              <w:t>供应商在施工过程中使用或参考上述标准、规范以外的技术标准、规范时，应征得采购人的同意。</w:t>
            </w:r>
            <w:r>
              <w:br/>
            </w:r>
            <w:r>
              <w:rPr>
                <w:rFonts w:ascii="calibri" w:hAnsi="calibri" w:cs="calibri" w:eastAsia="calibri"/>
                <w:sz w:val="21"/>
              </w:rPr>
              <w:t xml:space="preserve"> 3.</w:t>
            </w:r>
            <w:r>
              <w:rPr>
                <w:rFonts w:ascii="宋体" w:hAnsi="宋体" w:cs="宋体" w:eastAsia="宋体"/>
                <w:sz w:val="21"/>
              </w:rPr>
              <w:t>在施工过程中，如果国家或有关部门颁布了新的技术标准或规范，则承包人应采用新的标准或规范进行施工。</w:t>
            </w:r>
            <w:r>
              <w:br/>
            </w:r>
            <w:r>
              <w:rPr>
                <w:rFonts w:ascii="calibri" w:hAnsi="calibri" w:cs="calibri" w:eastAsia="calibri"/>
                <w:sz w:val="21"/>
              </w:rPr>
              <w:t xml:space="preserve"> 4.</w:t>
            </w:r>
            <w:r>
              <w:rPr>
                <w:rFonts w:ascii="宋体" w:hAnsi="宋体" w:cs="宋体" w:eastAsia="宋体"/>
                <w:sz w:val="21"/>
              </w:rPr>
              <w:t>采购人提供工程的施工图纸和相关技术文件，是采购人现有的能被供应商利用的资料，采购人对供应商做出的任何推论、理解均不负责任。</w:t>
            </w:r>
            <w:r>
              <w:br/>
            </w:r>
            <w:r>
              <w:rPr>
                <w:rFonts w:ascii="calibri" w:hAnsi="calibri" w:cs="calibri" w:eastAsia="calibri"/>
                <w:sz w:val="21"/>
              </w:rPr>
              <w:t xml:space="preserve"> 5.</w:t>
            </w:r>
            <w:r>
              <w:rPr>
                <w:rFonts w:ascii="宋体" w:hAnsi="宋体" w:cs="宋体" w:eastAsia="宋体"/>
                <w:sz w:val="21"/>
              </w:rPr>
              <w:t>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r>
              <w:br/>
            </w:r>
            <w:r>
              <w:rPr>
                <w:rFonts w:ascii="calibri" w:hAnsi="calibri" w:cs="calibri" w:eastAsia="calibri"/>
                <w:sz w:val="21"/>
              </w:rPr>
              <w:t xml:space="preserve"> 6.</w:t>
            </w:r>
            <w:r>
              <w:rPr>
                <w:rFonts w:ascii="宋体" w:hAnsi="宋体" w:cs="宋体" w:eastAsia="宋体"/>
                <w:sz w:val="21"/>
              </w:rPr>
              <w:t>供应商所提供的材料如需向第三方外购时，供应商应对质量负责，并提供相应的出厂和验收证明及相关技术文件。同时，还应满足本磋商文件、工程量清单、施工图纸中的相关技术要求。</w:t>
            </w:r>
            <w:r>
              <w:br/>
            </w:r>
            <w:r>
              <w:rPr>
                <w:rFonts w:ascii="calibri" w:hAnsi="calibri" w:cs="calibri" w:eastAsia="calibri"/>
                <w:sz w:val="21"/>
              </w:rPr>
              <w:t xml:space="preserve"> 7.</w:t>
            </w:r>
            <w:r>
              <w:rPr>
                <w:rFonts w:ascii="宋体" w:hAnsi="宋体" w:cs="宋体" w:eastAsia="宋体"/>
                <w:sz w:val="21"/>
              </w:rPr>
              <w:t>质量必须达到现行合格标准，符合国家、行业、地方规定以及竞争性磋商文件规定的强制性质量和安全标准要求。</w:t>
            </w:r>
            <w:r>
              <w:br/>
            </w:r>
            <w:r>
              <w:rPr>
                <w:rFonts w:ascii="calibri" w:hAnsi="calibri" w:cs="calibri" w:eastAsia="calibri"/>
                <w:sz w:val="21"/>
              </w:rPr>
              <w:t xml:space="preserve"> 8.</w:t>
            </w:r>
            <w:r>
              <w:rPr>
                <w:rFonts w:ascii="宋体" w:hAnsi="宋体" w:cs="宋体" w:eastAsia="宋体"/>
                <w:sz w:val="21"/>
              </w:rPr>
              <w:t>供应商中标后，磋商响应文件中拟派项目经理必须与施工时实际委派项目经理一致，采购人将在签署施工合同前查验项目经理相关资质、身份材料以及中标人为项目经理缴纳社保的缴费凭据。项目经理必须履职尽责，全程参与施工、例会、解决施工中的问题，严禁挂名挂证。</w:t>
            </w:r>
            <w:r>
              <w:br/>
            </w:r>
            <w:r>
              <w:rPr>
                <w:rFonts w:ascii="calibri" w:hAnsi="calibri" w:cs="calibri" w:eastAsia="calibri"/>
                <w:sz w:val="21"/>
              </w:rPr>
              <w:t xml:space="preserve"> 9.</w:t>
            </w:r>
            <w:r>
              <w:rPr>
                <w:rFonts w:ascii="宋体" w:hAnsi="宋体" w:cs="宋体" w:eastAsia="宋体"/>
                <w:sz w:val="21"/>
              </w:rPr>
              <w:t>本项目如涉及与政府部门（包含且不限于）环保、城管、地铁、规划等沟通协调或办理手续，费用及手续办理均由承包人负责，如因沟通协调及办理手续原因造成工期延误或费用增加等由承包人负责。</w:t>
            </w:r>
            <w:r>
              <w:br/>
            </w:r>
            <w:r>
              <w:rPr>
                <w:rFonts w:ascii="calibri" w:hAnsi="calibri" w:cs="calibri" w:eastAsia="calibri"/>
                <w:sz w:val="21"/>
              </w:rPr>
              <w:t xml:space="preserve"> 10.</w:t>
            </w:r>
            <w:r>
              <w:rPr>
                <w:rFonts w:ascii="宋体" w:hAnsi="宋体" w:cs="宋体" w:eastAsia="宋体"/>
                <w:sz w:val="21"/>
              </w:rPr>
              <w:t>施工过程中，供应商应制定详细可行的防污降噪处理措施，减少对周围环境的影响，每天施工结束后对施工现场进行清扫。</w:t>
            </w:r>
            <w:r>
              <w:br/>
            </w:r>
            <w:r>
              <w:rPr>
                <w:rFonts w:ascii="calibri" w:hAnsi="calibri" w:cs="calibri" w:eastAsia="calibri"/>
                <w:sz w:val="21"/>
              </w:rPr>
              <w:t xml:space="preserve"> 11.</w:t>
            </w:r>
            <w:r>
              <w:rPr>
                <w:rFonts w:ascii="宋体" w:hAnsi="宋体" w:cs="宋体" w:eastAsia="宋体"/>
                <w:sz w:val="21"/>
              </w:rPr>
              <w:t>承包人需要将专业工程或劳务进行分包的，应分包给具有相应资质的专业或劳务企业，并与分包企业签订分包合同。</w:t>
            </w:r>
            <w:r>
              <w:br/>
            </w:r>
            <w:r>
              <w:rPr>
                <w:rFonts w:ascii="calibri" w:hAnsi="calibri" w:cs="calibri" w:eastAsia="calibri"/>
                <w:sz w:val="21"/>
              </w:rPr>
              <w:t xml:space="preserve"> 12.</w:t>
            </w:r>
            <w:r>
              <w:rPr>
                <w:rFonts w:ascii="宋体" w:hAnsi="宋体" w:cs="宋体" w:eastAsia="宋体"/>
                <w:sz w:val="21"/>
              </w:rPr>
              <w:t>承包人不得将其承包的工程转包给他人，也不得将其承包的工程以分包的名义转包给他人。</w:t>
            </w:r>
            <w:r>
              <w:br/>
            </w:r>
            <w:r>
              <w:rPr>
                <w:rFonts w:ascii="calibri" w:hAnsi="calibri" w:cs="calibri" w:eastAsia="calibri"/>
                <w:sz w:val="21"/>
              </w:rPr>
              <w:t xml:space="preserve"> 13.</w:t>
            </w:r>
            <w:r>
              <w:rPr>
                <w:rFonts w:ascii="宋体" w:hAnsi="宋体" w:cs="宋体" w:eastAsia="宋体"/>
                <w:sz w:val="21"/>
              </w:rPr>
              <w:t>工程分包不能解除承包人任何责任与义务。承包人应在分包场地派驻相应管理人员，保证本合同的履行。分包单位的任何违约行为或疏忽导致工程损害或给发包人造成其他损失，承包人承担连带责任。其他详见设计说明及施工设计图等。</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工期：60天</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提供2023年度经审计的财务报告（成立时间至提交磋商响应文件截止时间不足一年的可提供成立后任意时段的资产负债表），或磋商截止日期前6个月内银行出具的资信证明；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供应商须具有建筑工程施工总承包三级及以上资质或建筑装修装饰工程专业承包二级及以上资质，且具有有效的安全生产许可证。供应商需在项目电子化交易系统中按要求上传相应证明文件并进行电子签章；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项目负责人</w:t>
            </w:r>
          </w:p>
        </w:tc>
        <w:tc>
          <w:tcPr>
            <w:tcW w:type="dxa" w:w="3322"/>
          </w:tcPr>
          <w:p>
            <w:pPr>
              <w:pStyle w:val="null3"/>
            </w:pPr>
            <w:r>
              <w:rPr/>
              <w:t>拟派项目经理须具备建筑工程二级注册建造师及以上执业资格，且具备有效的安全生产考核合格证书。供应商需在项目电子化交易系统中按要求上传相应证明文件并进行电子签章；</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4</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并加盖公章）和被授权人身份证原件。（法定代表人参加投标只须提供法定代表人身份证明书及身份证原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财务报告</w:t>
            </w:r>
          </w:p>
        </w:tc>
        <w:tc>
          <w:tcPr>
            <w:tcW w:type="dxa" w:w="3322"/>
          </w:tcPr>
          <w:p>
            <w:pPr>
              <w:pStyle w:val="null3"/>
            </w:pPr>
            <w:r>
              <w:rPr/>
              <w:t>提供2023年度经审计的财务报告（成立时间至提交磋商响应文件截止时间不足一年的可提供成立后任意时段的资产负债表），或磋商截止日期前6个月内银行出具的资信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完税证明</w:t>
            </w:r>
          </w:p>
        </w:tc>
        <w:tc>
          <w:tcPr>
            <w:tcW w:type="dxa" w:w="3322"/>
          </w:tcPr>
          <w:p>
            <w:pPr>
              <w:pStyle w:val="null3"/>
            </w:pPr>
            <w:r>
              <w:rPr/>
              <w:t>提供磋商截止时间前6个月内的纳税证明或完税证明，依法免税的单位应提供相关证明材料。供应商需在项目电子化交易系统中按要求上传相应证明文件并进行电子签章；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社保缴纳凭证</w:t>
            </w:r>
          </w:p>
        </w:tc>
        <w:tc>
          <w:tcPr>
            <w:tcW w:type="dxa" w:w="3322"/>
          </w:tcPr>
          <w:p>
            <w:pPr>
              <w:pStyle w:val="null3"/>
            </w:pPr>
            <w:r>
              <w:rPr/>
              <w:t>提供磋商截止时间前6个月内的社会保障资金缴存单据或社保机构开具的社会保险参保缴费情况证 明，依法不需要缴纳社会保障资金的单位应提供相关证明材料。供应商需在项目电子化交易系统中按要求上传相应证明文件并进行电子签章；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无重大违法记录的书面声明</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企业信誉截图</w:t>
            </w:r>
          </w:p>
        </w:tc>
        <w:tc>
          <w:tcPr>
            <w:tcW w:type="dxa" w:w="3322"/>
          </w:tcPr>
          <w:p>
            <w:pPr>
              <w:pStyle w:val="null3"/>
            </w:pPr>
            <w:r>
              <w:rPr/>
              <w:t>供应商不得为“信用中国”网站（www.creditchina.gov.cn）中列入失信被执行人或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磋商响应文件签章</w:t>
            </w:r>
          </w:p>
        </w:tc>
        <w:tc>
          <w:tcPr>
            <w:tcW w:type="dxa" w:w="3322"/>
          </w:tcPr>
          <w:p>
            <w:pPr>
              <w:pStyle w:val="null3"/>
            </w:pPr>
            <w:r>
              <w:rPr/>
              <w:t>磋商文件要求签署、加盖印章 （平台提交的 应加盖符合要求的电子签章）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商务及技术主要条款响应</w:t>
            </w:r>
          </w:p>
        </w:tc>
        <w:tc>
          <w:tcPr>
            <w:tcW w:type="dxa" w:w="3322"/>
          </w:tcPr>
          <w:p>
            <w:pPr>
              <w:pStyle w:val="null3"/>
            </w:pPr>
            <w:r>
              <w:rPr/>
              <w:t>对服务期限等实质性内容进行响应且未附加其它条件</w:t>
            </w:r>
          </w:p>
        </w:tc>
        <w:tc>
          <w:tcPr>
            <w:tcW w:type="dxa" w:w="1661"/>
          </w:tcPr>
          <w:p>
            <w:pPr>
              <w:pStyle w:val="null3"/>
            </w:pPr>
            <w:r>
              <w:rPr/>
              <w:t>技术服务合同条款及其他商务要求应答表 施工方案</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符合竞争性磋商文件要求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每轮磋商报价唯一且未超过采购预算</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技术方案完善、合理、先进、可靠、稳定。功能完善、目标明确，充分满足用户需求，有详细的规划。按其响应程度计1～10分。不提供不得分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项目实施人员配备</w:t>
            </w:r>
          </w:p>
        </w:tc>
        <w:tc>
          <w:tcPr>
            <w:tcW w:type="dxa" w:w="2492"/>
          </w:tcPr>
          <w:p>
            <w:pPr>
              <w:pStyle w:val="null3"/>
            </w:pPr>
            <w:r>
              <w:rPr/>
              <w:t>提供完整的项目团队信息和分工信息，项目负责人信息明确，组织结构完整，主要人员具备相关项目经历；由评审专家对投标人响应内容进行对比，按其响应程度计1～10分。不提供不得分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施工方案</w:t>
            </w:r>
          </w:p>
        </w:tc>
      </w:tr>
      <w:tr>
        <w:tc>
          <w:tcPr>
            <w:tcW w:type="dxa" w:w="831"/>
            <w:vMerge/>
          </w:tcPr>
          <w:p/>
        </w:tc>
        <w:tc>
          <w:tcPr>
            <w:tcW w:type="dxa" w:w="1661"/>
          </w:tcPr>
          <w:p>
            <w:pPr>
              <w:pStyle w:val="null3"/>
            </w:pPr>
            <w:r>
              <w:rPr/>
              <w:t>确保工程质量的技术措施</w:t>
            </w:r>
          </w:p>
        </w:tc>
        <w:tc>
          <w:tcPr>
            <w:tcW w:type="dxa" w:w="2492"/>
          </w:tcPr>
          <w:p>
            <w:pPr>
              <w:pStyle w:val="null3"/>
            </w:pPr>
            <w:r>
              <w:rPr/>
              <w:t>安全目标明确、能满足招标人要求的,按其响应程度计1～6分。不提供不得分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工期满足招标文件要求，施工进度计划图示清晰、科学合理,按其响应程度计1～5分。不提供不得分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施工方案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安全目标明确、能满足招标人要求的安保措施,按其响应程度计1～5分。不提供不得分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施工部署及临时设施临时用地表</w:t>
            </w:r>
          </w:p>
        </w:tc>
        <w:tc>
          <w:tcPr>
            <w:tcW w:type="dxa" w:w="2492"/>
          </w:tcPr>
          <w:p>
            <w:pPr>
              <w:pStyle w:val="null3"/>
            </w:pPr>
            <w:r>
              <w:rPr/>
              <w:t>由评审专家自主赋分,根据优劣按其响应程度计1～3分。不提供不得分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满足环保目标要求,科学合理，按其响应程度计1-5分。不提供不得分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工程进度计划与措施</w:t>
            </w:r>
          </w:p>
        </w:tc>
        <w:tc>
          <w:tcPr>
            <w:tcW w:type="dxa" w:w="2492"/>
          </w:tcPr>
          <w:p>
            <w:pPr>
              <w:pStyle w:val="null3"/>
            </w:pPr>
            <w:r>
              <w:rPr/>
              <w:t>总体施工保证措施合理，计划安排、工序衔接科学，制定详细的施工进度计划，施工进度计划的编制符合国家法律规定和一般工程实践惯例，工期保证措施得力；由评审专家对供应商响应内容进行对比，按其响应程度计1-10分。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施工方案</w:t>
            </w:r>
          </w:p>
        </w:tc>
      </w:tr>
      <w:tr>
        <w:tc>
          <w:tcPr>
            <w:tcW w:type="dxa" w:w="831"/>
            <w:vMerge/>
          </w:tcPr>
          <w:p/>
        </w:tc>
        <w:tc>
          <w:tcPr>
            <w:tcW w:type="dxa" w:w="1661"/>
          </w:tcPr>
          <w:p>
            <w:pPr>
              <w:pStyle w:val="null3"/>
            </w:pPr>
            <w:r>
              <w:rPr/>
              <w:t>服务方案</w:t>
            </w:r>
          </w:p>
        </w:tc>
        <w:tc>
          <w:tcPr>
            <w:tcW w:type="dxa" w:w="2492"/>
          </w:tcPr>
          <w:p>
            <w:pPr>
              <w:pStyle w:val="null3"/>
            </w:pPr>
            <w:r>
              <w:rPr/>
              <w:t>工程竣工验收合格后，发生质量问题有补救措施、质保期有承诺、方案切实可行，根据其方案的针对性、科学性、合理性和完善性横向对比，按其响应程度计1-5分。不提供不得分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应急方案</w:t>
            </w:r>
          </w:p>
        </w:tc>
        <w:tc>
          <w:tcPr>
            <w:tcW w:type="dxa" w:w="2492"/>
          </w:tcPr>
          <w:p>
            <w:pPr>
              <w:pStyle w:val="null3"/>
            </w:pPr>
            <w:r>
              <w:rPr/>
              <w:t>项目风险预测与防范，事故应急预案的全面性、合理性的比较；由评审专家对供应商响应内容进行对比，按其响应程度计1-5分。不提供不得分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业绩</w:t>
            </w:r>
          </w:p>
        </w:tc>
        <w:tc>
          <w:tcPr>
            <w:tcW w:type="dxa" w:w="2492"/>
          </w:tcPr>
          <w:p>
            <w:pPr>
              <w:pStyle w:val="null3"/>
            </w:pPr>
            <w:r>
              <w:rPr/>
              <w:t>提供2022年至今的同类项目业绩，每有一项得2分，最多得6分。 评审依据：以投标人加盖公章的中标通知书或施工合同证明复印件为准。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 足磋商文件要求且最终磋商价最低 的投标报价为评标基准价，其价格 分为满分，计 30分；满足磋商文 件要求且磋商价格最低的磋商报价 为评标基准价，其他磋商的价格分按照公式计算： 报价得分=（评标基准价／磋商报价）×价格权值 ×100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详见附件：施工方案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