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中医设备采购项目(二次)</w:t>
      </w:r>
    </w:p>
    <w:p>
      <w:pPr>
        <w:pStyle w:val="null3"/>
        <w:jc w:val="center"/>
        <w:outlineLvl w:val="2"/>
      </w:pPr>
      <w:r>
        <w:rPr>
          <w:sz w:val="28"/>
          <w:b/>
        </w:rPr>
        <w:t>采购项目编号：</w:t>
      </w:r>
      <w:r>
        <w:rPr>
          <w:sz w:val="28"/>
          <w:b/>
        </w:rPr>
        <w:t>JZDCG-2024-049.5B1</w:t>
      </w:r>
      <w:r>
        <w:br/>
      </w:r>
      <w:r>
        <w:br/>
      </w:r>
      <w:r>
        <w:br/>
      </w:r>
    </w:p>
    <w:p>
      <w:pPr>
        <w:pStyle w:val="null3"/>
        <w:jc w:val="center"/>
        <w:outlineLvl w:val="2"/>
      </w:pPr>
      <w:r>
        <w:rPr>
          <w:sz w:val="28"/>
          <w:b/>
        </w:rPr>
        <w:t>铜川市人民医院</w:t>
      </w:r>
    </w:p>
    <w:p>
      <w:pPr>
        <w:pStyle w:val="null3"/>
        <w:jc w:val="center"/>
        <w:outlineLvl w:val="2"/>
      </w:pPr>
      <w:r>
        <w:rPr>
          <w:sz w:val="28"/>
          <w:b/>
        </w:rPr>
        <w:t>陕西金准达项目管理有限责任公司</w:t>
      </w:r>
      <w:r>
        <w:rPr>
          <w:sz w:val="28"/>
          <w:b/>
        </w:rPr>
        <w:t>共同编制</w:t>
      </w:r>
    </w:p>
    <w:p>
      <w:pPr>
        <w:pStyle w:val="null3"/>
        <w:jc w:val="center"/>
        <w:outlineLvl w:val="2"/>
      </w:pPr>
      <w:r>
        <w:rPr>
          <w:sz w:val="28"/>
          <w:b/>
        </w:rPr>
        <w:t>2024年11月01日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陕西金准达项目管理有限责任公司</w:t>
      </w:r>
      <w:r>
        <w:rPr/>
        <w:t>（以下简称“代理机构”）受</w:t>
      </w:r>
      <w:r>
        <w:rPr/>
        <w:t>铜川市人民医院</w:t>
      </w:r>
      <w:r>
        <w:rPr/>
        <w:t>委托，拟对</w:t>
      </w:r>
      <w:r>
        <w:rPr/>
        <w:t>中医设备采购项目(二次)</w:t>
      </w:r>
      <w:r>
        <w:rPr/>
        <w:t>进行国内公开招标，兹邀请符合本次招标要求的供应商参加投标。</w:t>
      </w:r>
    </w:p>
    <w:p>
      <w:pPr>
        <w:pStyle w:val="null3"/>
        <w:outlineLvl w:val="2"/>
      </w:pPr>
      <w:r>
        <w:rPr>
          <w:sz w:val="28"/>
          <w:b/>
        </w:rPr>
        <w:t>一、采购项目编号：</w:t>
      </w:r>
      <w:r>
        <w:rPr>
          <w:sz w:val="28"/>
          <w:b/>
        </w:rPr>
        <w:t>JZDCG-2024-049.5B1</w:t>
      </w:r>
    </w:p>
    <w:p>
      <w:pPr>
        <w:pStyle w:val="null3"/>
        <w:outlineLvl w:val="2"/>
      </w:pPr>
      <w:r>
        <w:rPr>
          <w:sz w:val="28"/>
          <w:b/>
        </w:rPr>
        <w:t>二、采购项目名称：</w:t>
      </w:r>
      <w:r>
        <w:rPr>
          <w:sz w:val="28"/>
          <w:b/>
        </w:rPr>
        <w:t>中医设备采购项目(二次)</w:t>
      </w:r>
    </w:p>
    <w:p>
      <w:pPr>
        <w:pStyle w:val="null3"/>
        <w:outlineLvl w:val="2"/>
      </w:pPr>
      <w:r>
        <w:rPr>
          <w:sz w:val="28"/>
          <w:b/>
        </w:rPr>
        <w:t>三、招标项目简介</w:t>
      </w:r>
    </w:p>
    <w:p>
      <w:pPr>
        <w:pStyle w:val="null3"/>
        <w:ind w:firstLine="480"/>
      </w:pPr>
      <w:r>
        <w:rPr/>
        <w:t>本项目为中医设备采购项目（二次），具体采购设备包含：中频治疗仪、中频治疗仪（便携式）。</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采购包1（中频治疗仪 、中频治疗仪 （便携式））：属于专门面向中小企业采购。</w:t>
      </w:r>
    </w:p>
    <w:p>
      <w:pPr>
        <w:pStyle w:val="null3"/>
        <w:ind w:firstLine="480"/>
      </w:pPr>
      <w:r>
        <w:rPr/>
        <w:t>（三）本项目的特定资格要求：</w:t>
      </w:r>
    </w:p>
    <w:p>
      <w:pPr>
        <w:pStyle w:val="null3"/>
      </w:pPr>
      <w:r>
        <w:rPr/>
        <w:t>采购包1：</w:t>
      </w:r>
    </w:p>
    <w:p>
      <w:pPr>
        <w:pStyle w:val="null3"/>
      </w:pPr>
      <w:r>
        <w:rPr/>
        <w:t>1、主体经营资格：在中华人民共和国境内注册，并有效续存的营业执照/事业单位法人证书/非企业专业服务机构执业许可证/民办非企业单位登记证书、税务登记证、组织机构代码证，或“三证合一”后的注册登记证。</w:t>
      </w:r>
    </w:p>
    <w:p>
      <w:pPr>
        <w:pStyle w:val="null3"/>
      </w:pPr>
      <w:r>
        <w:rPr/>
        <w:t>2、社会保障资金缴纳证明：自2024年04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p>
      <w:pPr>
        <w:pStyle w:val="null3"/>
      </w:pPr>
      <w:r>
        <w:rPr/>
        <w:t>3、税收缴纳证明：自2024年04月01日以来已缴存的至少一个月的纳税证明或完税证明，纳税证明或完税证明上应有代收机构或税务机关的公章或业务专用章。依法免税的供应商应提供相关文件证明。</w:t>
      </w:r>
    </w:p>
    <w:p>
      <w:pPr>
        <w:pStyle w:val="null3"/>
      </w:pPr>
      <w:r>
        <w:rPr/>
        <w:t>4、信用查询：未被列入“信用中国”网站（www.creditchina.gov.cn）失信被执行人和重大税收违法案件当事人名单，不得为“中国政府采购网”(www.ccgp.gov.cn)政府采购严重违法失信行为记录名单中禁止参加政府采购活动的供应商。</w:t>
      </w:r>
    </w:p>
    <w:p>
      <w:pPr>
        <w:pStyle w:val="null3"/>
      </w:pPr>
      <w:r>
        <w:rPr/>
        <w:t>5、法定代表人授权委托书：须提供法定代表人授权书（附法定代表人、被授权人身份证复印件）；法定代表人直接参加投标的，须提供法定代表人身份证明文件。</w:t>
      </w:r>
    </w:p>
    <w:p>
      <w:pPr>
        <w:pStyle w:val="null3"/>
      </w:pPr>
      <w:r>
        <w:rPr/>
        <w:t>6、无重大违法记录：参加政府采购活动前三年内在经营活动中没有重大违法记录的书面声明。</w:t>
      </w:r>
    </w:p>
    <w:p>
      <w:pPr>
        <w:pStyle w:val="null3"/>
      </w:pPr>
      <w:r>
        <w:rPr/>
        <w:t>7、技术承诺函：提供具有履行合同所必需的设备和专业技术能力的承诺函。</w:t>
      </w:r>
    </w:p>
    <w:p>
      <w:pPr>
        <w:pStyle w:val="null3"/>
      </w:pPr>
      <w:r>
        <w:rPr/>
        <w:t>8、资质要求：投标人为制造厂商的需提供《医疗器械生产许可证》或《医疗器械生产备案凭证》；投标人为代理商的须提供《医疗器械经营许可证》或《医疗器械经营备案凭证》。</w:t>
      </w:r>
    </w:p>
    <w:p>
      <w:pPr>
        <w:pStyle w:val="null3"/>
      </w:pPr>
      <w:r>
        <w:rPr/>
        <w:t>9、资质要求：须提供拟投产品的医疗器械注册证。</w:t>
      </w:r>
    </w:p>
    <w:p>
      <w:pPr>
        <w:pStyle w:val="null3"/>
      </w:pPr>
      <w:r>
        <w:rPr/>
        <w:t>10、联合体不得参与：投标人应提供针对本项目的非联合体声明，签字盖章。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铜川市人民医院</w:t>
      </w:r>
    </w:p>
    <w:p>
      <w:pPr>
        <w:pStyle w:val="null3"/>
      </w:pPr>
      <w:r>
        <w:rPr/>
        <w:t xml:space="preserve"> 地址： </w:t>
      </w:r>
      <w:r>
        <w:rPr/>
        <w:t>陕西省铜川市王益区健康路12号</w:t>
      </w:r>
    </w:p>
    <w:p>
      <w:pPr>
        <w:pStyle w:val="null3"/>
      </w:pPr>
      <w:r>
        <w:rPr/>
        <w:t xml:space="preserve"> 邮编： </w:t>
      </w:r>
      <w:r>
        <w:rPr/>
        <w:t>727000</w:t>
      </w:r>
    </w:p>
    <w:p>
      <w:pPr>
        <w:pStyle w:val="null3"/>
      </w:pPr>
      <w:r>
        <w:rPr/>
        <w:t xml:space="preserve"> 联系人： </w:t>
      </w:r>
      <w:r>
        <w:rPr/>
        <w:t>张嘉衡</w:t>
      </w:r>
    </w:p>
    <w:p>
      <w:pPr>
        <w:pStyle w:val="null3"/>
      </w:pPr>
      <w:r>
        <w:rPr/>
        <w:t xml:space="preserve"> 联系电话： </w:t>
      </w:r>
      <w:r>
        <w:rPr/>
        <w:t>0919-3582611</w:t>
      </w:r>
    </w:p>
    <w:p>
      <w:pPr>
        <w:pStyle w:val="null3"/>
        <w:outlineLvl w:val="2"/>
      </w:pPr>
      <w:r>
        <w:rPr>
          <w:sz w:val="28"/>
          <w:b/>
        </w:rPr>
        <w:t>代理机构：</w:t>
      </w:r>
      <w:r>
        <w:rPr>
          <w:sz w:val="28"/>
          <w:b/>
        </w:rPr>
        <w:t>陕西金准达项目管理有限责任公司</w:t>
      </w:r>
    </w:p>
    <w:p>
      <w:pPr>
        <w:pStyle w:val="null3"/>
      </w:pPr>
      <w:r>
        <w:rPr/>
        <w:t xml:space="preserve"> 地址： </w:t>
      </w:r>
      <w:r>
        <w:rPr/>
        <w:t>陕西省西安市高新区科技五路3号橡树星座B座902室</w:t>
      </w:r>
    </w:p>
    <w:p>
      <w:pPr>
        <w:pStyle w:val="null3"/>
      </w:pPr>
      <w:r>
        <w:rPr/>
        <w:t xml:space="preserve"> 邮编： </w:t>
      </w:r>
      <w:r>
        <w:rPr/>
        <w:t>710075</w:t>
      </w:r>
    </w:p>
    <w:p>
      <w:pPr>
        <w:pStyle w:val="null3"/>
      </w:pPr>
      <w:r>
        <w:rPr/>
        <w:t xml:space="preserve"> 联系人： </w:t>
      </w:r>
      <w:r>
        <w:rPr/>
        <w:t>曹莹、王军</w:t>
      </w:r>
    </w:p>
    <w:p>
      <w:pPr>
        <w:pStyle w:val="null3"/>
      </w:pPr>
      <w:r>
        <w:rPr/>
        <w:t xml:space="preserve"> 联系电话： </w:t>
      </w:r>
      <w:r>
        <w:rPr/>
        <w:t xml:space="preserve"> 029-89555599</w:t>
      </w:r>
    </w:p>
    <w:p>
      <w:pPr>
        <w:pStyle w:val="null3"/>
        <w:outlineLvl w:val="2"/>
      </w:pPr>
      <w:r>
        <w:rPr>
          <w:sz w:val="28"/>
          <w:b/>
        </w:rPr>
        <w:t>采购监督机构：</w:t>
      </w:r>
      <w:r>
        <w:rPr>
          <w:sz w:val="28"/>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采购包1：374,000.00元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须向采购代理机构按如下标准和规定交纳代理服务费：（1）代理服务费参照国家计委关于印发《招标代理服务收费管理暂行办法》的通知（计价格〔2002〕1980号）、《国家发展和改革委员会办公厅关于招标代理服务收费有关问题的通知》（发改办价格〔2003〕857号）文件计取；（2）代理服务费的交纳方式：由中标供应商在领取中标通知书前向采购代理机构一次性支付；开户名称：陕西金准达项目管理有限责任公司 开户行名称：招商银行西安分行营业部 账号：129911244910902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铜川市人民医院</w:t>
      </w:r>
      <w:r>
        <w:rPr/>
        <w:t>和</w:t>
      </w:r>
      <w:r>
        <w:rPr/>
        <w:t>陕西金准达项目管理有限责任公司</w:t>
      </w:r>
      <w:r>
        <w:rPr/>
        <w:t>享有。对招标文件中供应商参加本次政府采购活动应当具备的条件，招标项目技术、服务、商务及其他要求，评标细则及标准由</w:t>
      </w:r>
      <w:r>
        <w:rPr/>
        <w:t>铜川市人民医院</w:t>
      </w:r>
      <w:r>
        <w:rPr/>
        <w:t>负责解释。除上述招标文件内容，其他内容由</w:t>
      </w:r>
      <w:r>
        <w:rPr/>
        <w:t>陕西金准达项目管理有限责任公司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铜川市人民医院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陕西金准达项目管理有限责任公司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根据采购文件要求及合同约定执行。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陕西金准达项目管理有限责任公司</w:t>
      </w:r>
      <w:r>
        <w:rPr/>
        <w:t xml:space="preserve"> 负责答复；供应商对除采购需求外的采购文件的询问、质疑由</w:t>
      </w:r>
      <w:r>
        <w:rPr/>
        <w:t>陕西金准达项目管理有限责任公司</w:t>
      </w:r>
      <w:r>
        <w:rPr/>
        <w:t xml:space="preserve"> 负责答复；供应商对采购过程、采购结果的询问、质疑由 </w:t>
      </w:r>
      <w:r>
        <w:rPr/>
        <w:t>陕西金准达项目管理有限责任公司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联系人：王军</w:t>
      </w:r>
    </w:p>
    <w:p>
      <w:pPr>
        <w:pStyle w:val="null3"/>
      </w:pPr>
      <w:r>
        <w:rPr/>
        <w:t>联系电话：029-89555599</w:t>
      </w:r>
    </w:p>
    <w:p>
      <w:pPr>
        <w:pStyle w:val="null3"/>
      </w:pPr>
      <w:r>
        <w:rPr/>
        <w:t>地址：陕西省西安市高新区科技五路3号橡树星座B座902室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本项目为中医类设备采购项目（二次），具体采购设备包含：中频治疗仪、中频治疗仪（便携式）。</w:t>
      </w:r>
    </w:p>
    <w:p>
      <w:pPr>
        <w:pStyle w:val="null3"/>
        <w:outlineLvl w:val="2"/>
      </w:pPr>
      <w:r>
        <w:rPr>
          <w:sz w:val="28"/>
          <w:b/>
        </w:rPr>
        <w:t>3.2采购内容</w:t>
      </w:r>
    </w:p>
    <w:p>
      <w:pPr>
        <w:pStyle w:val="null3"/>
      </w:pPr>
      <w:r>
        <w:rPr/>
        <w:t>采购包1：</w:t>
      </w:r>
    </w:p>
    <w:p>
      <w:pPr>
        <w:pStyle w:val="null3"/>
      </w:pPr>
      <w:r>
        <w:rPr/>
        <w:t>采购包预算金额（元）: 374,000.00</w:t>
      </w:r>
    </w:p>
    <w:p>
      <w:pPr>
        <w:pStyle w:val="null3"/>
      </w:pPr>
      <w:r>
        <w:rPr/>
        <w:t>采购包最高限价（元）: 374,000.00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中频治疗仪</w:t>
            </w:r>
          </w:p>
        </w:tc>
        <w:tc>
          <w:tcPr>
            <w:tcW w:type="dxa" w:w="831"/>
          </w:tcPr>
          <w:p>
            <w:pPr>
              <w:pStyle w:val="null3"/>
              <w:jc w:val="right"/>
            </w:pPr>
            <w:r>
              <w:rPr/>
              <w:t>2.00</w:t>
            </w:r>
          </w:p>
        </w:tc>
        <w:tc>
          <w:tcPr>
            <w:tcW w:type="dxa" w:w="831"/>
          </w:tcPr>
          <w:p>
            <w:pPr>
              <w:pStyle w:val="null3"/>
              <w:jc w:val="right"/>
            </w:pPr>
            <w:r>
              <w:rPr/>
              <w:t>334,000.00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中频治疗仪 （便携式）</w:t>
            </w:r>
          </w:p>
        </w:tc>
        <w:tc>
          <w:tcPr>
            <w:tcW w:type="dxa" w:w="831"/>
          </w:tcPr>
          <w:p>
            <w:pPr>
              <w:pStyle w:val="null3"/>
              <w:jc w:val="right"/>
            </w:pPr>
            <w:r>
              <w:rPr/>
              <w:t>5.00</w:t>
            </w:r>
          </w:p>
        </w:tc>
        <w:tc>
          <w:tcPr>
            <w:tcW w:type="dxa" w:w="831"/>
          </w:tcPr>
          <w:p>
            <w:pPr>
              <w:pStyle w:val="null3"/>
              <w:jc w:val="right"/>
            </w:pPr>
            <w:r>
              <w:rPr/>
              <w:t>40,000.00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标的名称：中频治疗仪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4"/>
              </w:rPr>
              <w:t>1、具备变频电疗功能。</w:t>
            </w:r>
          </w:p>
          <w:p>
            <w:pPr>
              <w:pStyle w:val="null3"/>
              <w:jc w:val="both"/>
            </w:pPr>
            <w:r>
              <w:rPr>
                <w:rFonts w:ascii="宋体" w:hAnsi="宋体" w:cs="宋体" w:eastAsia="宋体"/>
                <w:sz w:val="24"/>
              </w:rPr>
              <w:t>2、治疗模式≥3个。</w:t>
            </w:r>
          </w:p>
          <w:p>
            <w:pPr>
              <w:pStyle w:val="null3"/>
              <w:jc w:val="both"/>
            </w:pPr>
            <w:r>
              <w:rPr>
                <w:rFonts w:ascii="宋体" w:hAnsi="宋体" w:cs="宋体" w:eastAsia="宋体"/>
                <w:sz w:val="24"/>
              </w:rPr>
              <w:t>3、具备电流保护功能。</w:t>
            </w:r>
          </w:p>
          <w:p>
            <w:pPr>
              <w:pStyle w:val="null3"/>
              <w:jc w:val="both"/>
            </w:pPr>
            <w:r>
              <w:rPr>
                <w:rFonts w:ascii="宋体" w:hAnsi="宋体" w:cs="宋体" w:eastAsia="宋体"/>
                <w:sz w:val="24"/>
              </w:rPr>
              <w:t>4、具备电流平衡调节功能。</w:t>
            </w:r>
          </w:p>
          <w:p>
            <w:pPr>
              <w:pStyle w:val="null3"/>
              <w:jc w:val="both"/>
            </w:pPr>
            <w:r>
              <w:rPr>
                <w:rFonts w:ascii="宋体" w:hAnsi="宋体" w:cs="宋体" w:eastAsia="宋体"/>
                <w:sz w:val="24"/>
              </w:rPr>
              <w:t>5、采用吸附电极，吸引压强度可调。</w:t>
            </w:r>
          </w:p>
          <w:p>
            <w:pPr>
              <w:pStyle w:val="null3"/>
              <w:jc w:val="both"/>
            </w:pPr>
            <w:r>
              <w:rPr>
                <w:rFonts w:ascii="宋体" w:hAnsi="宋体" w:cs="宋体" w:eastAsia="宋体"/>
                <w:sz w:val="24"/>
              </w:rPr>
              <w:t>6、循环治疗频率：1000～11000Hz。</w:t>
            </w:r>
          </w:p>
          <w:p>
            <w:pPr>
              <w:pStyle w:val="null3"/>
              <w:jc w:val="both"/>
            </w:pPr>
            <w:r>
              <w:rPr>
                <w:rFonts w:ascii="宋体" w:hAnsi="宋体" w:cs="宋体" w:eastAsia="宋体"/>
                <w:sz w:val="24"/>
              </w:rPr>
              <w:t>7、治疗时间可设定：≥60分钟。</w:t>
            </w:r>
          </w:p>
          <w:p>
            <w:pPr>
              <w:pStyle w:val="null3"/>
              <w:jc w:val="both"/>
            </w:pPr>
            <w:r>
              <w:rPr>
                <w:rFonts w:ascii="宋体" w:hAnsi="宋体" w:cs="宋体" w:eastAsia="宋体"/>
                <w:sz w:val="24"/>
              </w:rPr>
              <w:t>8、刺激强度可调节。</w:t>
            </w:r>
          </w:p>
          <w:p>
            <w:pPr>
              <w:pStyle w:val="null3"/>
              <w:jc w:val="both"/>
            </w:pPr>
            <w:r>
              <w:rPr>
                <w:rFonts w:ascii="宋体" w:hAnsi="宋体" w:cs="宋体" w:eastAsia="宋体"/>
                <w:sz w:val="24"/>
              </w:rPr>
              <w:t>9、额定功率≤300W。</w:t>
            </w:r>
          </w:p>
          <w:p>
            <w:pPr>
              <w:pStyle w:val="null3"/>
              <w:jc w:val="both"/>
            </w:pPr>
            <w:r>
              <w:rPr>
                <w:rFonts w:ascii="宋体" w:hAnsi="宋体" w:cs="宋体" w:eastAsia="宋体"/>
                <w:sz w:val="24"/>
              </w:rPr>
              <w:t>10、最大输出电压：≥50V。</w:t>
            </w:r>
          </w:p>
          <w:p>
            <w:pPr>
              <w:pStyle w:val="null3"/>
              <w:jc w:val="both"/>
            </w:pPr>
            <w:r>
              <w:rPr>
                <w:rFonts w:ascii="宋体" w:hAnsi="宋体" w:cs="宋体" w:eastAsia="宋体"/>
                <w:sz w:val="24"/>
              </w:rPr>
              <w:t>11、最大输出电流：≥100mA。</w:t>
            </w:r>
          </w:p>
          <w:p>
            <w:pPr>
              <w:pStyle w:val="null3"/>
              <w:jc w:val="both"/>
            </w:pPr>
            <w:r>
              <w:rPr>
                <w:rFonts w:ascii="宋体" w:hAnsi="宋体" w:cs="宋体" w:eastAsia="宋体"/>
                <w:sz w:val="24"/>
                <w:b/>
              </w:rPr>
              <w:t>注：</w:t>
            </w:r>
            <w:r>
              <w:rPr>
                <w:rFonts w:ascii="宋体" w:hAnsi="宋体" w:cs="宋体" w:eastAsia="宋体"/>
                <w:sz w:val="24"/>
                <w:b/>
              </w:rPr>
              <w:t>1.</w:t>
            </w:r>
            <w:r>
              <w:rPr>
                <w:rFonts w:ascii="calibri" w:hAnsi="calibri" w:cs="calibri" w:eastAsia="calibri"/>
                <w:sz w:val="24"/>
                <w:b/>
              </w:rPr>
              <w:t>本设备</w:t>
            </w:r>
            <w:r>
              <w:rPr>
                <w:rFonts w:ascii="宋体" w:hAnsi="宋体" w:cs="宋体" w:eastAsia="宋体"/>
                <w:sz w:val="24"/>
                <w:b/>
              </w:rPr>
              <w:t>为核心产品，多家投标人提供的核心产品品牌相同的，按照《政府采购货物和服务招标投标管理办法》（财政部令第</w:t>
            </w:r>
            <w:r>
              <w:rPr>
                <w:rFonts w:ascii="calibri" w:hAnsi="calibri" w:cs="calibri" w:eastAsia="calibri"/>
                <w:sz w:val="24"/>
                <w:b/>
              </w:rPr>
              <w:t>87</w:t>
            </w:r>
            <w:r>
              <w:rPr>
                <w:rFonts w:ascii="宋体" w:hAnsi="宋体" w:cs="宋体" w:eastAsia="宋体"/>
                <w:sz w:val="24"/>
                <w:b/>
              </w:rPr>
              <w:t>号）第三十一条规定处理。</w:t>
            </w:r>
          </w:p>
          <w:p>
            <w:pPr>
              <w:pStyle w:val="null3"/>
              <w:jc w:val="both"/>
            </w:pPr>
            <w:r>
              <w:rPr>
                <w:rFonts w:ascii="宋体" w:hAnsi="宋体" w:cs="宋体" w:eastAsia="宋体"/>
                <w:sz w:val="24"/>
                <w:b/>
              </w:rPr>
              <w:t>2.参数性质为“</w:t>
            </w:r>
            <w:r>
              <w:rPr>
                <w:rFonts w:ascii="宋体" w:hAnsi="宋体" w:cs="宋体" w:eastAsia="宋体"/>
                <w:sz w:val="28"/>
              </w:rPr>
              <w:t>▲</w:t>
            </w:r>
            <w:r>
              <w:rPr>
                <w:rFonts w:ascii="宋体" w:hAnsi="宋体" w:cs="宋体" w:eastAsia="宋体"/>
                <w:sz w:val="24"/>
                <w:b/>
              </w:rPr>
              <w:t>”的“技术参数与性能指标”共11项，为允许负偏离项，若未响应或者不满足将影响评分。</w:t>
            </w:r>
          </w:p>
          <w:p>
            <w:pPr>
              <w:pStyle w:val="null3"/>
              <w:jc w:val="both"/>
            </w:pPr>
            <w:r>
              <w:rPr>
                <w:rFonts w:ascii="宋体" w:hAnsi="宋体" w:cs="宋体" w:eastAsia="宋体"/>
                <w:sz w:val="24"/>
                <w:b/>
              </w:rPr>
              <w:t>3.须提供证明材料包括但不限于检验检测报告，产品技术白皮书，产品彩页，官网参数性能截图等技术支持性文件。</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sz w:val="24"/>
              </w:rPr>
              <w:t>12、≥2组可独立调节的输出，每组具有≥2个子通道。</w:t>
            </w:r>
          </w:p>
          <w:p>
            <w:pPr>
              <w:pStyle w:val="null3"/>
              <w:jc w:val="both"/>
            </w:pPr>
            <w:r>
              <w:rPr>
                <w:rFonts w:ascii="宋体" w:hAnsi="宋体" w:cs="宋体" w:eastAsia="宋体"/>
                <w:sz w:val="24"/>
              </w:rPr>
              <w:t>13、具有电极加热及加热保护功能。</w:t>
            </w:r>
          </w:p>
          <w:p>
            <w:pPr>
              <w:pStyle w:val="null3"/>
              <w:jc w:val="both"/>
            </w:pPr>
            <w:r>
              <w:rPr>
                <w:rFonts w:ascii="宋体" w:hAnsi="宋体" w:cs="宋体" w:eastAsia="宋体"/>
                <w:sz w:val="24"/>
                <w:b/>
              </w:rPr>
              <w:t>注：</w:t>
            </w:r>
            <w:r>
              <w:rPr>
                <w:rFonts w:ascii="宋体" w:hAnsi="宋体" w:cs="宋体" w:eastAsia="宋体"/>
                <w:sz w:val="24"/>
                <w:b/>
              </w:rPr>
              <w:t>1.参数性质为“</w:t>
            </w:r>
            <w:r>
              <w:rPr>
                <w:rFonts w:ascii="微软雅黑" w:hAnsi="微软雅黑" w:cs="微软雅黑" w:eastAsia="微软雅黑"/>
                <w:sz w:val="24"/>
              </w:rPr>
              <w:t>★</w:t>
            </w:r>
            <w:r>
              <w:rPr>
                <w:rFonts w:ascii="宋体" w:hAnsi="宋体" w:cs="宋体" w:eastAsia="宋体"/>
                <w:sz w:val="24"/>
                <w:b/>
              </w:rPr>
              <w:t>”的“技术参数与性能指标”为核心参数共2项，为实质性要求，供应商必须响应并满足的参数需求，否则按无效投标处理。</w:t>
            </w:r>
          </w:p>
          <w:p>
            <w:pPr>
              <w:pStyle w:val="null3"/>
              <w:jc w:val="both"/>
            </w:pPr>
            <w:r>
              <w:rPr>
                <w:rFonts w:ascii="宋体" w:hAnsi="宋体" w:cs="宋体" w:eastAsia="宋体"/>
                <w:sz w:val="24"/>
                <w:b/>
              </w:rPr>
              <w:t>2.须提供证明材料包括但不限于检验检测报告，产品技术白皮书，产品彩页，官网参数性能截图等技术支持性文件。</w:t>
            </w:r>
          </w:p>
        </w:tc>
      </w:tr>
    </w:tbl>
    <w:p>
      <w:pPr>
        <w:pStyle w:val="null3"/>
      </w:pPr>
      <w:r>
        <w:rPr/>
        <w:t>标的名称：中频治疗仪 （便携式）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4"/>
              </w:rPr>
              <w:t>1、输出通道：≥4路输出通道，可独立工作。</w:t>
            </w:r>
          </w:p>
          <w:p>
            <w:pPr>
              <w:pStyle w:val="null3"/>
              <w:jc w:val="both"/>
            </w:pPr>
            <w:r>
              <w:rPr>
                <w:rFonts w:ascii="宋体" w:hAnsi="宋体" w:cs="宋体" w:eastAsia="宋体"/>
                <w:sz w:val="24"/>
              </w:rPr>
              <w:t>2、调制波形：≥5个。</w:t>
            </w:r>
          </w:p>
          <w:p>
            <w:pPr>
              <w:pStyle w:val="null3"/>
              <w:jc w:val="both"/>
            </w:pPr>
            <w:r>
              <w:rPr>
                <w:rFonts w:ascii="宋体" w:hAnsi="宋体" w:cs="宋体" w:eastAsia="宋体"/>
                <w:sz w:val="24"/>
              </w:rPr>
              <w:t>3、具备低频电疗功能。</w:t>
            </w:r>
          </w:p>
          <w:p>
            <w:pPr>
              <w:pStyle w:val="null3"/>
              <w:jc w:val="both"/>
            </w:pPr>
            <w:r>
              <w:rPr>
                <w:rFonts w:ascii="宋体" w:hAnsi="宋体" w:cs="宋体" w:eastAsia="宋体"/>
                <w:sz w:val="24"/>
              </w:rPr>
              <w:t>4、电流强度可调节。</w:t>
            </w:r>
          </w:p>
          <w:p>
            <w:pPr>
              <w:pStyle w:val="null3"/>
              <w:jc w:val="both"/>
            </w:pPr>
            <w:r>
              <w:rPr>
                <w:rFonts w:ascii="宋体" w:hAnsi="宋体" w:cs="宋体" w:eastAsia="宋体"/>
                <w:sz w:val="24"/>
              </w:rPr>
              <w:t>5、具有输出电流控制功能。</w:t>
            </w:r>
          </w:p>
          <w:p>
            <w:pPr>
              <w:pStyle w:val="null3"/>
              <w:jc w:val="both"/>
            </w:pPr>
            <w:r>
              <w:rPr>
                <w:rFonts w:ascii="宋体" w:hAnsi="宋体" w:cs="宋体" w:eastAsia="宋体"/>
                <w:sz w:val="24"/>
              </w:rPr>
              <w:t>6、输出电流稳定度：不同负载下的输出电流变化率≤10%。</w:t>
            </w:r>
          </w:p>
          <w:p>
            <w:pPr>
              <w:pStyle w:val="null3"/>
              <w:jc w:val="both"/>
            </w:pPr>
            <w:r>
              <w:rPr>
                <w:rFonts w:ascii="宋体" w:hAnsi="宋体" w:cs="宋体" w:eastAsia="宋体"/>
                <w:sz w:val="24"/>
              </w:rPr>
              <w:t>7、输入功率：≥100W。</w:t>
            </w:r>
          </w:p>
          <w:p>
            <w:pPr>
              <w:pStyle w:val="null3"/>
              <w:jc w:val="both"/>
            </w:pPr>
            <w:r>
              <w:rPr>
                <w:rFonts w:ascii="宋体" w:hAnsi="宋体" w:cs="宋体" w:eastAsia="宋体"/>
                <w:sz w:val="24"/>
                <w:b/>
              </w:rPr>
              <w:t>注：参数性质为</w:t>
            </w:r>
            <w:r>
              <w:rPr>
                <w:rFonts w:ascii="宋体" w:hAnsi="宋体" w:cs="宋体" w:eastAsia="宋体"/>
                <w:sz w:val="24"/>
                <w:b/>
              </w:rPr>
              <w:t>“</w:t>
            </w:r>
            <w:r>
              <w:rPr>
                <w:rFonts w:ascii="宋体" w:hAnsi="宋体" w:cs="宋体" w:eastAsia="宋体"/>
                <w:sz w:val="28"/>
              </w:rPr>
              <w:t>▲</w:t>
            </w:r>
            <w:r>
              <w:rPr>
                <w:rFonts w:ascii="宋体" w:hAnsi="宋体" w:cs="宋体" w:eastAsia="宋体"/>
                <w:sz w:val="24"/>
                <w:b/>
              </w:rPr>
              <w:t>”的“技术参数与性能指标”共7项，为允许负偏离项，若未响应或者不满足将影响评分。</w:t>
            </w:r>
          </w:p>
          <w:p>
            <w:pPr>
              <w:pStyle w:val="null3"/>
              <w:jc w:val="both"/>
            </w:pPr>
            <w:r>
              <w:rPr>
                <w:rFonts w:ascii="宋体" w:hAnsi="宋体" w:cs="宋体" w:eastAsia="宋体"/>
                <w:sz w:val="24"/>
                <w:b/>
              </w:rPr>
              <w:t>2.须提供证明材料包括但不限于检验检测报告，产品技术白皮书，产品彩页，官网参数性能截图等技术支持性文件。</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sz w:val="24"/>
              </w:rPr>
              <w:t>8、处方数量：≥60个治疗处方。</w:t>
            </w:r>
          </w:p>
          <w:p>
            <w:pPr>
              <w:pStyle w:val="null3"/>
              <w:jc w:val="both"/>
            </w:pPr>
            <w:r>
              <w:rPr>
                <w:rFonts w:ascii="宋体" w:hAnsi="宋体" w:cs="宋体" w:eastAsia="宋体"/>
                <w:sz w:val="24"/>
              </w:rPr>
              <w:t>9、调制频率：低频调制频率范围至少为0～150HZ,中频载波范围至少为1kHz～10kHz。</w:t>
            </w:r>
          </w:p>
          <w:p>
            <w:pPr>
              <w:pStyle w:val="null3"/>
              <w:jc w:val="both"/>
            </w:pPr>
            <w:r>
              <w:rPr>
                <w:rFonts w:ascii="宋体" w:hAnsi="宋体" w:cs="宋体" w:eastAsia="宋体"/>
                <w:sz w:val="24"/>
                <w:b/>
              </w:rPr>
              <w:t>注：</w:t>
            </w:r>
            <w:r>
              <w:rPr>
                <w:rFonts w:ascii="宋体" w:hAnsi="宋体" w:cs="宋体" w:eastAsia="宋体"/>
                <w:sz w:val="24"/>
                <w:b/>
              </w:rPr>
              <w:t>1.参数性质为“</w:t>
            </w:r>
            <w:r>
              <w:rPr>
                <w:rFonts w:ascii="微软雅黑" w:hAnsi="微软雅黑" w:cs="微软雅黑" w:eastAsia="微软雅黑"/>
                <w:sz w:val="24"/>
              </w:rPr>
              <w:t>★</w:t>
            </w:r>
            <w:r>
              <w:rPr>
                <w:rFonts w:ascii="宋体" w:hAnsi="宋体" w:cs="宋体" w:eastAsia="宋体"/>
                <w:sz w:val="24"/>
                <w:b/>
              </w:rPr>
              <w:t>”的“技术参数与性能指标”为核心参数共2项，为实质性要求，供应商必须响应并满足的参数需求，否则按无效投标处理。</w:t>
            </w:r>
          </w:p>
          <w:p>
            <w:pPr>
              <w:pStyle w:val="null3"/>
              <w:jc w:val="both"/>
            </w:pPr>
            <w:r>
              <w:rPr>
                <w:rFonts w:ascii="宋体" w:hAnsi="宋体" w:cs="宋体" w:eastAsia="宋体"/>
                <w:sz w:val="24"/>
                <w:b/>
              </w:rPr>
              <w:t>2.须提供证明材料包括但不限于检验检测报告，产品技术白皮书，产品彩页，官网参数性能截图等技术支持性文件。</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自合同签订之日起20个日历日内完成交货、安装、调试完成。</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20</w:t>
      </w:r>
      <w:r>
        <w:rPr/>
        <w:t xml:space="preserve"> 日内，支付合同总金额的 </w:t>
      </w:r>
      <w:r>
        <w:rPr/>
        <w:t>40.00</w:t>
      </w:r>
      <w:r>
        <w:rPr/>
        <w:t>%。</w:t>
      </w:r>
    </w:p>
    <w:p>
      <w:pPr>
        <w:pStyle w:val="null3"/>
      </w:pPr>
      <w:r>
        <w:rPr/>
        <w:t>采购包1：</w:t>
      </w:r>
      <w:r>
        <w:rPr/>
        <w:t xml:space="preserve"> 付款条件说明： </w:t>
      </w:r>
      <w:r>
        <w:rPr/>
        <w:t>设备交货安装调试结束验收合格后</w:t>
      </w:r>
      <w:r>
        <w:rPr/>
        <w:t xml:space="preserve"> ，达到付款条件起 </w:t>
      </w:r>
      <w:r>
        <w:rPr/>
        <w:t>20</w:t>
      </w:r>
      <w:r>
        <w:rPr/>
        <w:t xml:space="preserve"> 日内，支付合同总金额的 </w:t>
      </w:r>
      <w:r>
        <w:rPr/>
        <w:t>57.00</w:t>
      </w:r>
      <w:r>
        <w:rPr/>
        <w:t>%。</w:t>
      </w:r>
    </w:p>
    <w:p>
      <w:pPr>
        <w:pStyle w:val="null3"/>
      </w:pPr>
      <w:r>
        <w:rPr/>
        <w:t>采购包1：</w:t>
      </w:r>
      <w:r>
        <w:rPr/>
        <w:t xml:space="preserve"> 付款条件说明： </w:t>
      </w:r>
      <w:r>
        <w:rPr/>
        <w:t>设备正常运行1年后</w:t>
      </w:r>
      <w:r>
        <w:rPr/>
        <w:t xml:space="preserve"> ，达到付款条件起 </w:t>
      </w:r>
      <w:r>
        <w:rPr/>
        <w:t>20</w:t>
      </w:r>
      <w:r>
        <w:rPr/>
        <w:t xml:space="preserve"> 日内，支付合同总金额的 </w:t>
      </w:r>
      <w:r>
        <w:rPr/>
        <w:t>3.00</w:t>
      </w:r>
      <w:r>
        <w:rPr/>
        <w:t>%。</w:t>
      </w:r>
    </w:p>
    <w:p>
      <w:pPr>
        <w:pStyle w:val="null3"/>
        <w:outlineLvl w:val="3"/>
      </w:pPr>
      <w:r>
        <w:rPr>
          <w:sz w:val="24"/>
          <w:b/>
        </w:rPr>
        <w:t>3.4.5验收标准和方法</w:t>
      </w:r>
    </w:p>
    <w:p>
      <w:pPr>
        <w:pStyle w:val="null3"/>
      </w:pPr>
      <w:r>
        <w:rPr/>
        <w:t>采购包1：</w:t>
      </w:r>
    </w:p>
    <w:p>
      <w:pPr>
        <w:pStyle w:val="null3"/>
      </w:pPr>
      <w:r>
        <w:rPr/>
        <w:t>1、项目验收分初验和终验: 初验：货物到达交货地点后，由采购方根据合同对货物（产品）的名称、品牌、规格、型号、产地、数量进行检查。 终验：所有货物(设备)安装、调试完毕，所有设备兼容性良好、性能稳定，正常使用10个日历日后，由采购人、使用单位进行终验（最终验收），合格后签发《终验合格单》。 2、验收不合格的中标单位，必须在接到通知后7个日历日内确保货物通过验收。若接到通知后7个日历日内验收仍不合格，采购人可提出索赔或取消其供货合同。 3、验收依据 （1）合同文本及合同补充文件（条款）。 （2）招标文件。 （3）中标人的投标文件。 （4）合同货物清单。 （5）其他证明资料。</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1、质保期为终验合格之日起1年，国家规定质保期超出本文件要求的按国家规定执行。中标人承诺的质保时间超过上述要求的，按其承诺时间质保。 2、招标文件中技术参数中有规定的应以招标文件中技术参数要求为准，国家有规定的且优于招标文件的以国家规定为准。 3、所有产品质量必须符合国家有关规范和相关政策，所有产品必须是未使用过的新产品，质量优良、渠道正当，配置合理。 4、质保期出现的质量问题由中标人负责解决（调换）并承担所有费用。5、中标人需配合招标人安装指导到位。</w:t>
      </w:r>
    </w:p>
    <w:p>
      <w:pPr>
        <w:pStyle w:val="null3"/>
        <w:outlineLvl w:val="3"/>
      </w:pPr>
      <w:r>
        <w:rPr>
          <w:sz w:val="24"/>
          <w:b/>
        </w:rPr>
        <w:t>3.4.8违约责任与解决争议的方法</w:t>
      </w:r>
    </w:p>
    <w:p>
      <w:pPr>
        <w:pStyle w:val="null3"/>
      </w:pPr>
      <w:r>
        <w:rPr/>
        <w:t>采购包1：</w:t>
      </w:r>
    </w:p>
    <w:p>
      <w:pPr>
        <w:pStyle w:val="null3"/>
      </w:pPr>
      <w:r>
        <w:rPr/>
        <w:t>根据采购文件要求及合同约定执行。</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提供2023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p>
        </w:tc>
        <w:tc>
          <w:tcPr>
            <w:tcW w:type="dxa" w:w="1661"/>
          </w:tcPr>
          <w:p>
            <w:pPr>
              <w:pStyle w:val="null3"/>
            </w:pPr>
            <w:r>
              <w:rPr/>
              <w:t>一般资格审查证明材料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主体经营资格</w:t>
            </w:r>
          </w:p>
        </w:tc>
        <w:tc>
          <w:tcPr>
            <w:tcW w:type="dxa" w:w="3322"/>
          </w:tcPr>
          <w:p>
            <w:pPr>
              <w:pStyle w:val="null3"/>
            </w:pPr>
            <w:r>
              <w:rPr/>
              <w:t>在中华人民共和国境内注册，并有效续存的营业执照/事业单位法人证书/非企业专业服务机构执业许可证/民办非企业单位登记证书、税务登记证、组织机构代码证，或“三证合一”后的注册登记证。</w:t>
            </w:r>
          </w:p>
        </w:tc>
        <w:tc>
          <w:tcPr>
            <w:tcW w:type="dxa" w:w="1661"/>
          </w:tcPr>
          <w:p>
            <w:pPr>
              <w:pStyle w:val="null3"/>
            </w:pPr>
            <w:r>
              <w:rPr/>
              <w:t>特殊资格审查证明材料</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自2024年04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tc>
        <w:tc>
          <w:tcPr>
            <w:tcW w:type="dxa" w:w="1661"/>
          </w:tcPr>
          <w:p>
            <w:pPr>
              <w:pStyle w:val="null3"/>
            </w:pPr>
            <w:r>
              <w:rPr/>
              <w:t>特殊资格审查证明材料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自2024年04月01日以来已缴存的至少一个月的纳税证明或完税证明，纳税证明或完税证明上应有代收机构或税务机关的公章或业务专用章。依法免税的供应商应提供相关文件证明。</w:t>
            </w:r>
          </w:p>
        </w:tc>
        <w:tc>
          <w:tcPr>
            <w:tcW w:type="dxa" w:w="1661"/>
          </w:tcPr>
          <w:p>
            <w:pPr>
              <w:pStyle w:val="null3"/>
            </w:pPr>
            <w:r>
              <w:rPr/>
              <w:t>特殊资格审查证明材料</w:t>
            </w:r>
          </w:p>
        </w:tc>
      </w:tr>
      <w:tr>
        <w:tc>
          <w:tcPr>
            <w:tcW w:type="dxa" w:w="831"/>
          </w:tcPr>
          <w:p>
            <w:pPr>
              <w:pStyle w:val="null3"/>
            </w:pPr>
            <w:r>
              <w:rPr/>
              <w:t>4</w:t>
            </w:r>
          </w:p>
        </w:tc>
        <w:tc>
          <w:tcPr>
            <w:tcW w:type="dxa" w:w="2492"/>
          </w:tcPr>
          <w:p>
            <w:pPr>
              <w:pStyle w:val="null3"/>
            </w:pPr>
            <w:r>
              <w:rPr/>
              <w:t>信用查询</w:t>
            </w:r>
          </w:p>
        </w:tc>
        <w:tc>
          <w:tcPr>
            <w:tcW w:type="dxa" w:w="3322"/>
          </w:tcPr>
          <w:p>
            <w:pPr>
              <w:pStyle w:val="null3"/>
            </w:pPr>
            <w:r>
              <w:rPr/>
              <w:t>未被列入“信用中国”网站（www.creditchina.gov.cn）失信被执行人和重大税收违法案件当事人名单，不得为“中国政府采购网”(www.ccgp.gov.cn)政府采购严重违法失信行为记录名单中禁止参加政府采购活动的供应商。</w:t>
            </w:r>
          </w:p>
        </w:tc>
        <w:tc>
          <w:tcPr>
            <w:tcW w:type="dxa" w:w="1661"/>
          </w:tcPr>
          <w:p>
            <w:pPr>
              <w:pStyle w:val="null3"/>
            </w:pPr>
            <w:r>
              <w:rPr/>
              <w:t>特殊资格审查证明材料</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须提供法定代表人授权书（附法定代表人、被授权人身份证复印件）；法定代表人直接参加投标的，须提供法定代表人身份证明文件。</w:t>
            </w:r>
          </w:p>
        </w:tc>
        <w:tc>
          <w:tcPr>
            <w:tcW w:type="dxa" w:w="1661"/>
          </w:tcPr>
          <w:p>
            <w:pPr>
              <w:pStyle w:val="null3"/>
            </w:pPr>
            <w:r>
              <w:rPr/>
              <w:t>特殊资格审查证明材料</w:t>
            </w:r>
          </w:p>
        </w:tc>
      </w:tr>
      <w:tr>
        <w:tc>
          <w:tcPr>
            <w:tcW w:type="dxa" w:w="831"/>
          </w:tcPr>
          <w:p>
            <w:pPr>
              <w:pStyle w:val="null3"/>
            </w:pPr>
            <w:r>
              <w:rPr/>
              <w:t>6</w:t>
            </w:r>
          </w:p>
        </w:tc>
        <w:tc>
          <w:tcPr>
            <w:tcW w:type="dxa" w:w="2492"/>
          </w:tcPr>
          <w:p>
            <w:pPr>
              <w:pStyle w:val="null3"/>
            </w:pPr>
            <w:r>
              <w:rPr/>
              <w:t>无重大违法记录</w:t>
            </w:r>
          </w:p>
        </w:tc>
        <w:tc>
          <w:tcPr>
            <w:tcW w:type="dxa" w:w="3322"/>
          </w:tcPr>
          <w:p>
            <w:pPr>
              <w:pStyle w:val="null3"/>
            </w:pPr>
            <w:r>
              <w:rPr/>
              <w:t>参加政府采购活动前三年内在经营活动中没有重大违法记录的书面声明。</w:t>
            </w:r>
          </w:p>
        </w:tc>
        <w:tc>
          <w:tcPr>
            <w:tcW w:type="dxa" w:w="1661"/>
          </w:tcPr>
          <w:p>
            <w:pPr>
              <w:pStyle w:val="null3"/>
            </w:pPr>
            <w:r>
              <w:rPr/>
              <w:t>特殊资格审查证明材料</w:t>
            </w:r>
          </w:p>
        </w:tc>
      </w:tr>
      <w:tr>
        <w:tc>
          <w:tcPr>
            <w:tcW w:type="dxa" w:w="831"/>
          </w:tcPr>
          <w:p>
            <w:pPr>
              <w:pStyle w:val="null3"/>
            </w:pPr>
            <w:r>
              <w:rPr/>
              <w:t>7</w:t>
            </w:r>
          </w:p>
        </w:tc>
        <w:tc>
          <w:tcPr>
            <w:tcW w:type="dxa" w:w="2492"/>
          </w:tcPr>
          <w:p>
            <w:pPr>
              <w:pStyle w:val="null3"/>
            </w:pPr>
            <w:r>
              <w:rPr/>
              <w:t>技术承诺函</w:t>
            </w:r>
          </w:p>
        </w:tc>
        <w:tc>
          <w:tcPr>
            <w:tcW w:type="dxa" w:w="3322"/>
          </w:tcPr>
          <w:p>
            <w:pPr>
              <w:pStyle w:val="null3"/>
            </w:pPr>
            <w:r>
              <w:rPr/>
              <w:t>提供具有履行合同所必需的设备和专业技术能力的承诺函。</w:t>
            </w:r>
          </w:p>
        </w:tc>
        <w:tc>
          <w:tcPr>
            <w:tcW w:type="dxa" w:w="1661"/>
          </w:tcPr>
          <w:p>
            <w:pPr>
              <w:pStyle w:val="null3"/>
            </w:pPr>
            <w:r>
              <w:rPr/>
              <w:t>特殊资格审查证明材料</w:t>
            </w:r>
          </w:p>
        </w:tc>
      </w:tr>
      <w:tr>
        <w:tc>
          <w:tcPr>
            <w:tcW w:type="dxa" w:w="831"/>
          </w:tcPr>
          <w:p>
            <w:pPr>
              <w:pStyle w:val="null3"/>
            </w:pPr>
            <w:r>
              <w:rPr/>
              <w:t>8</w:t>
            </w:r>
          </w:p>
        </w:tc>
        <w:tc>
          <w:tcPr>
            <w:tcW w:type="dxa" w:w="2492"/>
          </w:tcPr>
          <w:p>
            <w:pPr>
              <w:pStyle w:val="null3"/>
            </w:pPr>
            <w:r>
              <w:rPr/>
              <w:t>资质要求</w:t>
            </w:r>
          </w:p>
        </w:tc>
        <w:tc>
          <w:tcPr>
            <w:tcW w:type="dxa" w:w="3322"/>
          </w:tcPr>
          <w:p>
            <w:pPr>
              <w:pStyle w:val="null3"/>
            </w:pPr>
            <w:r>
              <w:rPr/>
              <w:t>投标人为制造厂商的需提供《医疗器械生产许可证》或《医疗器械生产备案凭证》；投标人为代理商的须提供《医疗器械经营许可证》或《医疗器械经营备案凭证》。</w:t>
            </w:r>
          </w:p>
        </w:tc>
        <w:tc>
          <w:tcPr>
            <w:tcW w:type="dxa" w:w="1661"/>
          </w:tcPr>
          <w:p>
            <w:pPr>
              <w:pStyle w:val="null3"/>
            </w:pPr>
            <w:r>
              <w:rPr/>
              <w:t>特殊资格审查证明材料</w:t>
            </w:r>
          </w:p>
        </w:tc>
      </w:tr>
      <w:tr>
        <w:tc>
          <w:tcPr>
            <w:tcW w:type="dxa" w:w="831"/>
          </w:tcPr>
          <w:p>
            <w:pPr>
              <w:pStyle w:val="null3"/>
            </w:pPr>
            <w:r>
              <w:rPr/>
              <w:t>9</w:t>
            </w:r>
          </w:p>
        </w:tc>
        <w:tc>
          <w:tcPr>
            <w:tcW w:type="dxa" w:w="2492"/>
          </w:tcPr>
          <w:p>
            <w:pPr>
              <w:pStyle w:val="null3"/>
            </w:pPr>
            <w:r>
              <w:rPr/>
              <w:t>资质要求</w:t>
            </w:r>
          </w:p>
        </w:tc>
        <w:tc>
          <w:tcPr>
            <w:tcW w:type="dxa" w:w="3322"/>
          </w:tcPr>
          <w:p>
            <w:pPr>
              <w:pStyle w:val="null3"/>
            </w:pPr>
            <w:r>
              <w:rPr/>
              <w:t>须提供拟投产品的医疗器械注册证。</w:t>
            </w:r>
          </w:p>
        </w:tc>
        <w:tc>
          <w:tcPr>
            <w:tcW w:type="dxa" w:w="1661"/>
          </w:tcPr>
          <w:p>
            <w:pPr>
              <w:pStyle w:val="null3"/>
            </w:pPr>
            <w:r>
              <w:rPr/>
              <w:t>特殊资格审查证明材料</w:t>
            </w:r>
          </w:p>
        </w:tc>
      </w:tr>
      <w:tr>
        <w:tc>
          <w:tcPr>
            <w:tcW w:type="dxa" w:w="831"/>
          </w:tcPr>
          <w:p>
            <w:pPr>
              <w:pStyle w:val="null3"/>
            </w:pPr>
            <w:r>
              <w:rPr/>
              <w:t>10</w:t>
            </w:r>
          </w:p>
        </w:tc>
        <w:tc>
          <w:tcPr>
            <w:tcW w:type="dxa" w:w="2492"/>
          </w:tcPr>
          <w:p>
            <w:pPr>
              <w:pStyle w:val="null3"/>
            </w:pPr>
            <w:r>
              <w:rPr/>
              <w:t>联合体不得参与</w:t>
            </w:r>
          </w:p>
        </w:tc>
        <w:tc>
          <w:tcPr>
            <w:tcW w:type="dxa" w:w="3322"/>
          </w:tcPr>
          <w:p>
            <w:pPr>
              <w:pStyle w:val="null3"/>
            </w:pPr>
            <w:r>
              <w:rPr/>
              <w:t>投标人应提供针对本项目的非联合体声明，签字盖章。</w:t>
            </w:r>
          </w:p>
        </w:tc>
        <w:tc>
          <w:tcPr>
            <w:tcW w:type="dxa" w:w="1661"/>
          </w:tcPr>
          <w:p>
            <w:pPr>
              <w:pStyle w:val="null3"/>
            </w:pPr>
            <w:r>
              <w:rPr/>
              <w:t>特殊资格审查证明材料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签字盖章</w:t>
            </w:r>
          </w:p>
        </w:tc>
        <w:tc>
          <w:tcPr>
            <w:tcW w:type="dxa" w:w="3322"/>
          </w:tcPr>
          <w:p>
            <w:pPr>
              <w:pStyle w:val="null3"/>
            </w:pPr>
            <w:r>
              <w:rPr/>
              <w:t>应逐页盖章</w:t>
            </w:r>
          </w:p>
        </w:tc>
        <w:tc>
          <w:tcPr>
            <w:tcW w:type="dxa" w:w="1661"/>
          </w:tcPr>
          <w:p>
            <w:pPr>
              <w:pStyle w:val="null3"/>
            </w:pPr>
            <w:r>
              <w:rPr/>
              <w:t>商务响应偏离表 开标一览表 中小企业声明函 特殊资格审查证明材料 投标方案说明 投标函 残疾人福利性单位声明函 一般资格审查证明材料 标的清单 投标文件封面 技术参数与性能指标响应偏离表 类似业绩一览表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开标一览表 标的清单 投标文件封面</w:t>
            </w:r>
          </w:p>
        </w:tc>
      </w:tr>
      <w:tr>
        <w:tc>
          <w:tcPr>
            <w:tcW w:type="dxa" w:w="831"/>
          </w:tcPr>
          <w:p>
            <w:pPr>
              <w:pStyle w:val="null3"/>
            </w:pPr>
            <w:r>
              <w:rPr/>
              <w:t>4</w:t>
            </w:r>
          </w:p>
        </w:tc>
        <w:tc>
          <w:tcPr>
            <w:tcW w:type="dxa" w:w="2492"/>
          </w:tcPr>
          <w:p>
            <w:pPr>
              <w:pStyle w:val="null3"/>
            </w:pPr>
            <w:r>
              <w:rPr/>
              <w:t>交货期限</w:t>
            </w:r>
          </w:p>
        </w:tc>
        <w:tc>
          <w:tcPr>
            <w:tcW w:type="dxa" w:w="3322"/>
          </w:tcPr>
          <w:p>
            <w:pPr>
              <w:pStyle w:val="null3"/>
            </w:pPr>
            <w:r>
              <w:rPr/>
              <w:t>应满足招标文件中要求的交货期限</w:t>
            </w:r>
          </w:p>
        </w:tc>
        <w:tc>
          <w:tcPr>
            <w:tcW w:type="dxa" w:w="1661"/>
          </w:tcPr>
          <w:p>
            <w:pPr>
              <w:pStyle w:val="null3"/>
            </w:pPr>
            <w:r>
              <w:rPr/>
              <w:t>开标一览表 标的清单 投标文件封面</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应满足招标文件中的规定</w:t>
            </w:r>
          </w:p>
        </w:tc>
        <w:tc>
          <w:tcPr>
            <w:tcW w:type="dxa" w:w="1661"/>
          </w:tcPr>
          <w:p>
            <w:pPr>
              <w:pStyle w:val="null3"/>
            </w:pPr>
            <w:r>
              <w:rPr/>
              <w:t>投标函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产品技术参数</w:t>
            </w:r>
          </w:p>
        </w:tc>
        <w:tc>
          <w:tcPr>
            <w:tcW w:type="dxa" w:w="2492"/>
          </w:tcPr>
          <w:p>
            <w:pPr>
              <w:pStyle w:val="null3"/>
            </w:pPr>
            <w:r>
              <w:rPr/>
              <w:t>招标文件第三章中“技术要求”参数性质为“▲”项的技术参数与性能指标共18项，供应商若满足所有参数得满分18分，每有一项不满足则扣1分，最多扣18分。注：提供相应产品技术参数与性能指标的证明材料（包括但不限于检验检测报告，产品技术白皮书，产品彩页，官网参数性能截图等技术支持性文件资料），经评审专家审定得分。</w:t>
            </w:r>
          </w:p>
        </w:tc>
        <w:tc>
          <w:tcPr>
            <w:tcW w:type="dxa" w:w="831"/>
          </w:tcPr>
          <w:p>
            <w:pPr>
              <w:pStyle w:val="null3"/>
              <w:jc w:val="right"/>
            </w:pPr>
            <w:r>
              <w:rPr/>
              <w:t>18.0000</w:t>
            </w:r>
          </w:p>
        </w:tc>
        <w:tc>
          <w:tcPr>
            <w:tcW w:type="dxa" w:w="831"/>
          </w:tcPr>
          <w:p>
            <w:pPr>
              <w:pStyle w:val="null3"/>
            </w:pPr>
            <w:r>
              <w:rPr/>
              <w:t>客观</w:t>
            </w:r>
          </w:p>
        </w:tc>
        <w:tc>
          <w:tcPr>
            <w:tcW w:type="dxa" w:w="1661"/>
          </w:tcPr>
          <w:p>
            <w:pPr>
              <w:pStyle w:val="null3"/>
            </w:pPr>
            <w:r>
              <w:rPr/>
              <w:t>投标方案说明</w:t>
            </w:r>
          </w:p>
          <w:p>
            <w:pPr>
              <w:pStyle w:val="null3"/>
            </w:pPr>
            <w:r>
              <w:rPr/>
              <w:t>技术参数与性能指标响应偏离表</w:t>
            </w:r>
          </w:p>
        </w:tc>
      </w:tr>
      <w:tr>
        <w:tc>
          <w:tcPr>
            <w:tcW w:type="dxa" w:w="831"/>
            <w:vMerge/>
          </w:tcPr>
          <w:p/>
        </w:tc>
        <w:tc>
          <w:tcPr>
            <w:tcW w:type="dxa" w:w="1661"/>
          </w:tcPr>
          <w:p>
            <w:pPr>
              <w:pStyle w:val="null3"/>
            </w:pPr>
            <w:r>
              <w:rPr/>
              <w:t>产品选型</w:t>
            </w:r>
          </w:p>
        </w:tc>
        <w:tc>
          <w:tcPr>
            <w:tcW w:type="dxa" w:w="2492"/>
          </w:tcPr>
          <w:p>
            <w:pPr>
              <w:pStyle w:val="null3"/>
            </w:pPr>
            <w:r>
              <w:rPr/>
              <w:t>根据本项目的产品选型进行评审： 1、拟提供产品选型合理，安全可靠，性价比高，功能描述齐全，产品性能、使用效果优秀得：(7-10]分； 2、拟提供产品选型较合理，安全可靠性较好，性价比较好，功能描述较齐全，产品性能、使用效果较好得：(4-7]分； 3、拟提供产品选型一般，安全可靠性基本满足，性价比一般，功能一般，产品性能、使用效果差得：(0-4]分； 4、未提供产品选型不得分。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供货实施方案</w:t>
            </w:r>
          </w:p>
        </w:tc>
        <w:tc>
          <w:tcPr>
            <w:tcW w:type="dxa" w:w="2492"/>
          </w:tcPr>
          <w:p>
            <w:pPr>
              <w:pStyle w:val="null3"/>
            </w:pPr>
            <w:r>
              <w:rPr/>
              <w:t>根据本项目供货实施方案进行评审： 1、供货实施方案周密、组织计划全面、人员配置合理、分工明确；供货周期保障得当、货物运输安全可靠，应急保障措施全面得(6-8]分； 2、供货实施方案较合理、组织计划较全面、人员配置较合理、分工较明确；供货周期保障较得当、货物运输较安全可靠，应急保障措施较全面得(3-6]分； 3、供货实施方案合理性差、组织计划差、人员配置差、分工不明确；供货周期保障差、货物运输安全可靠性差，应急保障措施不全面得(0-3]分。 4、未提供实施方案不得分。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安装调试方案</w:t>
            </w:r>
          </w:p>
        </w:tc>
        <w:tc>
          <w:tcPr>
            <w:tcW w:type="dxa" w:w="2492"/>
          </w:tcPr>
          <w:p>
            <w:pPr>
              <w:pStyle w:val="null3"/>
            </w:pPr>
            <w:r>
              <w:rPr/>
              <w:t>根据本项目安装调试方案进行评审： 1、安装调试方案完整，装配、安装、调试流程清晰，装配、安装、调试人员配备齐全、分工明确，得(6-8]分； 2、安装调试方案较完整，装配、安装、调试流程较清晰，装配、安装、调试人员配备较齐全、分工较明确得(3-6]分； 3、安装调试方案不完善，装配、安装、调试流程不清晰，装配、安装、调试人员配备不齐全、分工不明确得(0-3]分； 4、未提供安装调试方案不得分。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质量保障</w:t>
            </w:r>
          </w:p>
        </w:tc>
        <w:tc>
          <w:tcPr>
            <w:tcW w:type="dxa" w:w="2492"/>
          </w:tcPr>
          <w:p>
            <w:pPr>
              <w:pStyle w:val="null3"/>
            </w:pPr>
            <w:r>
              <w:rPr/>
              <w:t>针对本项目质量保障方案进行评审： 1、提供质量保障方案详细，产品质量及安装质量方案完整、可行，有明确的质量承诺得(7-10]分； 2、提供质量保障方案较详细，产品质量及安装质量方案较完整、较可行，有较明确的质量承诺得 (4-7]分； 3、提供质量保障方案不详细，产品质量及安装质量方案不完整，质量承诺不明确得(0-4]分。 4、未提供质量保障方案不得分。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售后服务方案</w:t>
            </w:r>
          </w:p>
        </w:tc>
        <w:tc>
          <w:tcPr>
            <w:tcW w:type="dxa" w:w="2492"/>
          </w:tcPr>
          <w:p>
            <w:pPr>
              <w:pStyle w:val="null3"/>
            </w:pPr>
            <w:r>
              <w:rPr/>
              <w:t>针对本项目的内容提供切实可行的售后服务方案，方案至少包含：设备操作培训、售后服务人员配备、故障响应处理及补救措施、设备定期检查维护等，根据内容进行评审： 1、方案详细、全面，内容明确清晰得(7-10]分； 2、方案较详细、较全面，内容较明确清晰得(4-7]分； 3、方案不详细、不全面，内容不明确清晰得得(0-4]分； 4、未提供售后服务方案不得分。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业绩分</w:t>
            </w:r>
          </w:p>
        </w:tc>
        <w:tc>
          <w:tcPr>
            <w:tcW w:type="dxa" w:w="2492"/>
          </w:tcPr>
          <w:p>
            <w:pPr>
              <w:pStyle w:val="null3"/>
            </w:pPr>
            <w:r>
              <w:rPr/>
              <w:t>供应商需提供2021年1月1日以来独立承担过类似项目的业绩，每个业绩计1分，最高计4分。 注：类似业绩证明文件以合同复印件为准（需包含合同首页、盖章签字页等关键页），时间以合同签订时间为准，未提供或不清晰导致无法识别的不予认可。</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投标方案说明</w:t>
            </w:r>
          </w:p>
          <w:p>
            <w:pPr>
              <w:pStyle w:val="null3"/>
            </w:pPr>
            <w:r>
              <w:rPr/>
              <w:t>类似业绩一览表</w:t>
            </w:r>
          </w:p>
        </w:tc>
      </w:tr>
      <w:tr>
        <w:tc>
          <w:tcPr>
            <w:tcW w:type="dxa" w:w="831"/>
            <w:vMerge/>
          </w:tcPr>
          <w:p/>
        </w:tc>
        <w:tc>
          <w:tcPr>
            <w:tcW w:type="dxa" w:w="1661"/>
          </w:tcPr>
          <w:p>
            <w:pPr>
              <w:pStyle w:val="null3"/>
            </w:pPr>
            <w:r>
              <w:rPr/>
              <w:t>产品合法来源</w:t>
            </w:r>
          </w:p>
        </w:tc>
        <w:tc>
          <w:tcPr>
            <w:tcW w:type="dxa" w:w="2492"/>
          </w:tcPr>
          <w:p>
            <w:pPr>
              <w:pStyle w:val="null3"/>
            </w:pPr>
            <w:r>
              <w:rPr/>
              <w:t>供应商应提供产品合法来源证明，每提供1项得1分。最高得2分。证明材料包含但不限于：产品授权委托书，供货协议等，未提供不得分。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价格分采用低价优先法计算，即满足采购文件要求且最终价格最低的最终报价为评审基准价，其价格分为满分。其他供应商的价格分统一按照下列公式计算：最终报价得分=（评审基准价/最终报价）×价格权值×100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详见附件：一般资格审查证明材料</w:t>
      </w:r>
    </w:p>
    <w:p>
      <w:pPr>
        <w:pStyle w:val="null3"/>
        <w:ind w:firstLine="960"/>
      </w:pPr>
      <w:r>
        <w:rPr/>
        <w:t>详见附件：特殊资格审查证明材料</w:t>
      </w:r>
    </w:p>
    <w:p>
      <w:pPr>
        <w:pStyle w:val="null3"/>
        <w:ind w:firstLine="960"/>
      </w:pPr>
      <w:r>
        <w:rPr/>
        <w:t>详见附件：商务响应偏离表</w:t>
      </w:r>
    </w:p>
    <w:p>
      <w:pPr>
        <w:pStyle w:val="null3"/>
        <w:ind w:firstLine="960"/>
      </w:pPr>
      <w:r>
        <w:rPr/>
        <w:t>详见附件：技术参数与性能指标响应偏离表</w:t>
      </w:r>
    </w:p>
    <w:p>
      <w:pPr>
        <w:pStyle w:val="null3"/>
        <w:ind w:firstLine="960"/>
      </w:pPr>
      <w:r>
        <w:rPr/>
        <w:t>详见附件：投标方案说明</w:t>
      </w:r>
    </w:p>
    <w:p>
      <w:pPr>
        <w:pStyle w:val="null3"/>
        <w:ind w:firstLine="960"/>
      </w:pPr>
      <w:r>
        <w:rPr/>
        <w:t>详见附件：类似业绩一览表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