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sz w:val="48"/>
          <w:b/>
        </w:rPr>
        <w:t>政府采购项目采购需求</w:t>
      </w:r>
    </w:p>
    <w:p>
      <w:pPr>
        <w:pStyle w:val="null3"/>
        <w:spacing w:before="3000"/>
        <w:outlineLvl w:val="2"/>
      </w:pPr>
      <w:r>
        <w:rPr>
          <w:sz w:val="28"/>
          <w:b/>
        </w:rPr>
        <w:t>采购单位：</w:t>
      </w:r>
    </w:p>
    <w:p>
      <w:pPr>
        <w:pStyle w:val="null3"/>
        <w:outlineLvl w:val="2"/>
      </w:pPr>
      <w:r>
        <w:rPr>
          <w:sz w:val="28"/>
          <w:b/>
        </w:rPr>
        <w:t>铜川市第一中学</w:t>
      </w:r>
    </w:p>
    <w:p>
      <w:pPr>
        <w:pStyle w:val="null3"/>
        <w:jc w:val="right"/>
        <w:outlineLvl w:val="2"/>
      </w:pPr>
      <w:r>
        <w:rPr>
          <w:sz w:val="28"/>
          <w:b/>
        </w:rPr>
        <w:t>所属年度：</w:t>
      </w:r>
    </w:p>
    <w:p>
      <w:pPr>
        <w:pStyle w:val="null3"/>
        <w:outlineLvl w:val="2"/>
      </w:pPr>
      <w:r>
        <w:rPr>
          <w:sz w:val="28"/>
          <w:b/>
        </w:rPr>
        <w:t>2024</w:t>
      </w:r>
      <w:r>
        <w:rPr>
          <w:sz w:val="28"/>
          <w:b/>
        </w:rPr>
        <w:t>年</w:t>
      </w:r>
    </w:p>
    <w:p>
      <w:pPr>
        <w:pStyle w:val="null3"/>
        <w:jc w:val="right"/>
        <w:outlineLvl w:val="2"/>
      </w:pPr>
      <w:r>
        <w:rPr>
          <w:sz w:val="28"/>
          <w:b/>
        </w:rPr>
        <w:t>编制单位：</w:t>
      </w:r>
    </w:p>
    <w:p>
      <w:pPr>
        <w:pStyle w:val="null3"/>
        <w:outlineLvl w:val="2"/>
      </w:pPr>
      <w:r>
        <w:rPr>
          <w:sz w:val="28"/>
          <w:b/>
        </w:rPr>
        <w:t>铜川市第一中学</w:t>
      </w:r>
    </w:p>
    <w:p>
      <w:pPr>
        <w:pStyle w:val="null3"/>
        <w:jc w:val="right"/>
        <w:outlineLvl w:val="2"/>
      </w:pPr>
      <w:r>
        <w:rPr>
          <w:sz w:val="28"/>
          <w:b/>
        </w:rPr>
        <w:t>编制时间：</w:t>
      </w:r>
    </w:p>
    <w:p>
      <w:pPr>
        <w:pStyle w:val="null3"/>
        <w:outlineLvl w:val="2"/>
      </w:pPr>
      <w:r>
        <w:rPr>
          <w:sz w:val="28"/>
          <w:b/>
        </w:rPr>
        <w:t>2024年11月20日</w:t>
      </w:r>
    </w:p>
    <w:p>
      <w:pPr>
        <w:pStyle w:val="null3"/>
        <w:outlineLvl w:val="2"/>
      </w:pPr>
      <w:r>
        <w:rPr>
          <w:sz w:val="28"/>
          <w:b/>
        </w:rPr>
        <w:t>一、项目总体情况</w:t>
      </w:r>
    </w:p>
    <w:p>
      <w:pPr>
        <w:pStyle w:val="null3"/>
      </w:pPr>
      <w:r>
        <w:rPr/>
        <w:t xml:space="preserve"> （一）项目名称： </w:t>
      </w:r>
      <w:r>
        <w:rPr/>
        <w:t>市一中学生健康体检项目</w:t>
      </w:r>
    </w:p>
    <w:p>
      <w:pPr>
        <w:pStyle w:val="null3"/>
      </w:pPr>
      <w:r>
        <w:rPr/>
        <w:t xml:space="preserve"> （二）项目所属年度： </w:t>
      </w:r>
      <w:r>
        <w:rPr/>
        <w:t>2024</w:t>
      </w:r>
      <w:r>
        <w:rPr/>
        <w:t>年</w:t>
      </w:r>
    </w:p>
    <w:p>
      <w:pPr>
        <w:pStyle w:val="null3"/>
      </w:pPr>
      <w:r>
        <w:rPr/>
        <w:t xml:space="preserve"> （三）项目所属分类： </w:t>
      </w:r>
      <w:r>
        <w:rPr/>
        <w:t>服务</w:t>
      </w:r>
    </w:p>
    <w:p>
      <w:pPr>
        <w:pStyle w:val="null3"/>
      </w:pPr>
      <w:r>
        <w:rPr/>
        <w:t xml:space="preserve"> （四）预算金额（元）：</w:t>
      </w:r>
      <w:r>
        <w:rPr/>
        <w:t>532,015.00</w:t>
      </w:r>
      <w:r>
        <w:rPr/>
        <w:t>元 ，大写（人民币）：</w:t>
      </w:r>
      <w:r>
        <w:rPr/>
        <w:t>伍拾叁万贰仟零壹拾伍元整</w:t>
      </w:r>
    </w:p>
    <w:p>
      <w:pPr>
        <w:pStyle w:val="null3"/>
        <w:ind w:firstLine="1200"/>
      </w:pPr>
      <w:r>
        <w:rPr/>
        <w:t xml:space="preserve"> （五）项目概况：</w:t>
      </w:r>
    </w:p>
    <w:p>
      <w:pPr>
        <w:pStyle w:val="null3"/>
        <w:ind w:left="480"/>
      </w:pPr>
      <w:r>
        <w:rPr/>
        <w:t>为做好铜川市第一中学学生2024年健康体检工作，全面了解学生的身体状况。 一、体检项目 根据《中小学生健康体检管理办法（2021年版）》要求，体检项目如下： （一）询问既往疾病史。 （二）体检项目。 1.基本项目： 形态指标检查：身高、体重、腰围； 内科检查：心、肺、肝、脾，血压，肺活量； 外科检查：头部、颈部、胸部、脊柱、四肢、皮肤、淋巴结； 眼科检查：眼外观、远视力、屈光度； 口腔科检查：牙齿、牙周； 实验室检查：血常规；肝功能； 其他检查：结核菌素检测。 二、场地、物资准备及体检流程 学校指定专人负责协调对接，提供体检场地、电源，按班级提供学生花名册。 体检单位成立市一中学生健康体检工作专班，准备必要的体检用表、检查器械、试剂耗材、医废桶及医废袋等。严格按照操作规程进行检查，确保体检结果的准确性和可靠性。 学生体检分为登记、测量、检查、评估和反馈等环节进行。 三、体检结果反馈 体检单位以国家统一的体检用表形式向学校反馈学生个体健康体检结果，并由学校向学生及其监护人反馈。体检表内容包括学生个体体检项目的客观结果、对体检结果的综合评价以及健康指导建议，以超重、肥胖、营养不良、脊柱弯曲异常、视力不良、龋齿须作为指导的重点。我中心依法保障学生及其家庭等信息不外泄。 体检单位以学生体检结果分析报告的形式向学校反馈学生健康体检结果。内容包括学校不同年级男女生的生长发育水平，营养状况分布，脊柱弯曲异常、视力不良、龋齿、缺陷检出率，不同年级存在的主要健康问题以及健康指导建议。</w:t>
      </w:r>
    </w:p>
    <w:p>
      <w:pPr>
        <w:pStyle w:val="null3"/>
      </w:pPr>
      <w:r>
        <w:rPr/>
        <w:t xml:space="preserve"> （六）本项目是否有为采购项目提供整体设计、规范编制或者项目管理、监理、检测等服务的供应商：</w:t>
      </w:r>
      <w:r>
        <w:rPr/>
        <w:t>否</w:t>
      </w:r>
    </w:p>
    <w:p>
      <w:pPr>
        <w:pStyle w:val="null3"/>
        <w:outlineLvl w:val="2"/>
      </w:pPr>
      <w:r>
        <w:rPr>
          <w:sz w:val="28"/>
          <w:b/>
        </w:rPr>
        <w:t>二、项目需求调查情况</w:t>
      </w:r>
    </w:p>
    <w:p>
      <w:pPr>
        <w:pStyle w:val="null3"/>
      </w:pPr>
      <w:r>
        <w:rPr/>
        <w:t>依据《政府采购需求管理办法》的规定，本项目</w:t>
      </w:r>
      <w:r>
        <w:rPr/>
        <w:t>不需要</w:t>
      </w:r>
      <w:r>
        <w:rPr/>
        <w:t>需求调查，具体情况如下：</w:t>
      </w:r>
    </w:p>
    <w:p>
      <w:pPr>
        <w:pStyle w:val="null3"/>
      </w:pPr>
      <w:r>
        <w:rPr/>
        <w:t>（一）需求调查方式</w:t>
      </w:r>
    </w:p>
    <w:p>
      <w:pPr>
        <w:pStyle w:val="null3"/>
        <w:ind w:firstLine="840"/>
      </w:pPr>
      <w:r>
        <w:rPr/>
        <w:t>（二）需求调查对象</w:t>
      </w:r>
    </w:p>
    <w:p>
      <w:pPr>
        <w:pStyle w:val="null3"/>
        <w:ind w:firstLine="840"/>
      </w:pPr>
      <w:r>
        <w:rPr/>
        <w:t>（三）需求调查结果</w:t>
      </w:r>
    </w:p>
    <w:p>
      <w:pPr>
        <w:pStyle w:val="null3"/>
        <w:ind w:firstLine="840"/>
      </w:pPr>
      <w:r>
        <w:rPr/>
        <w:t>1.相关产业发展情况</w:t>
      </w:r>
    </w:p>
    <w:p>
      <w:pPr>
        <w:pStyle w:val="null3"/>
        <w:ind w:firstLine="840"/>
      </w:pPr>
      <w:r>
        <w:rPr/>
        <w:t>2.市场供给情况</w:t>
      </w:r>
    </w:p>
    <w:p>
      <w:pPr>
        <w:pStyle w:val="null3"/>
        <w:ind w:firstLine="840"/>
      </w:pPr>
      <w:r>
        <w:rPr/>
        <w:t>3.同类采购项目历史成交信息情况</w:t>
      </w:r>
    </w:p>
    <w:p>
      <w:pPr>
        <w:pStyle w:val="null3"/>
        <w:ind w:firstLine="840"/>
      </w:pPr>
      <w:r>
        <w:rPr/>
        <w:t>4.可能涉及的运行维护、升级更新、备品备件、耗材等后续采购情况</w:t>
      </w:r>
    </w:p>
    <w:p>
      <w:pPr>
        <w:pStyle w:val="null3"/>
        <w:ind w:firstLine="840"/>
      </w:pPr>
      <w:r>
        <w:rPr/>
        <w:t>5.其他相关情况</w:t>
      </w:r>
    </w:p>
    <w:p>
      <w:pPr>
        <w:pStyle w:val="null3"/>
        <w:ind w:firstLine="840"/>
        <w:outlineLvl w:val="2"/>
      </w:pPr>
      <w:r>
        <w:rPr>
          <w:sz w:val="28"/>
          <w:b/>
        </w:rPr>
        <w:t>三、项目采购实施计划</w:t>
      </w:r>
    </w:p>
    <w:p>
      <w:pPr>
        <w:pStyle w:val="null3"/>
      </w:pPr>
      <w:r>
        <w:rPr/>
        <w:t>（一）采购组织形式：</w:t>
      </w:r>
      <w:r>
        <w:rPr/>
        <w:t>部门集中采购</w:t>
      </w:r>
    </w:p>
    <w:p>
      <w:pPr>
        <w:pStyle w:val="null3"/>
      </w:pPr>
      <w:r>
        <w:rPr/>
        <w:t>（二）采购方式：</w:t>
      </w:r>
      <w:r>
        <w:rPr/>
        <w:t>竞争性磋商</w:t>
      </w:r>
    </w:p>
    <w:p>
      <w:pPr>
        <w:pStyle w:val="null3"/>
      </w:pPr>
      <w:r>
        <w:rPr/>
        <w:t>（三）本项目是否单位自行组织采购：</w:t>
      </w:r>
      <w:r>
        <w:rPr/>
        <w:t>否</w:t>
      </w:r>
    </w:p>
    <w:p>
      <w:pPr>
        <w:pStyle w:val="null3"/>
      </w:pPr>
      <w:r>
        <w:rPr/>
        <w:t>（四）采购包划分：</w:t>
      </w:r>
      <w:r>
        <w:rPr/>
        <w:t>不分包采购</w:t>
      </w:r>
    </w:p>
    <w:p>
      <w:pPr>
        <w:pStyle w:val="null3"/>
      </w:pPr>
      <w:r>
        <w:rPr/>
        <w:t>（五）执行政府采购促进中小企业发展的相关政策</w:t>
      </w:r>
    </w:p>
    <w:p>
      <w:pPr>
        <w:pStyle w:val="null3"/>
      </w:pPr>
      <w:r>
        <w:rPr>
          <w:color w:val="000000"/>
        </w:rPr>
        <w:t>1.</w:t>
      </w:r>
      <w:r>
        <w:rPr/>
        <w:t>专门面向中小企业采购</w:t>
      </w:r>
    </w:p>
    <w:p>
      <w:pPr>
        <w:pStyle w:val="null3"/>
        <w:ind w:firstLine="840"/>
      </w:pPr>
      <w:r>
        <w:rPr>
          <w:i/>
        </w:rPr>
        <w:t>注：监狱企业和残疾人福利单位视同小微企业。</w:t>
      </w:r>
    </w:p>
    <w:p>
      <w:pPr>
        <w:pStyle w:val="null3"/>
      </w:pPr>
      <w:r>
        <w:rPr/>
        <w:t>（六）是否采购环境标识产品：</w:t>
      </w:r>
      <w:r>
        <w:rPr/>
        <w:t>否</w:t>
      </w:r>
    </w:p>
    <w:p>
      <w:pPr>
        <w:pStyle w:val="null3"/>
      </w:pPr>
      <w:r>
        <w:rPr/>
        <w:t>（七）是否采购节能产品：</w:t>
      </w:r>
      <w:r>
        <w:rPr/>
        <w:t>否</w:t>
      </w:r>
    </w:p>
    <w:p>
      <w:pPr>
        <w:pStyle w:val="null3"/>
      </w:pPr>
      <w:r>
        <w:rPr/>
        <w:t>（八）项目的采购标的是否包含进口产品：</w:t>
      </w:r>
      <w:r>
        <w:rPr/>
        <w:t>否</w:t>
      </w:r>
    </w:p>
    <w:p>
      <w:pPr>
        <w:pStyle w:val="null3"/>
      </w:pPr>
      <w:r>
        <w:rPr/>
        <w:t>（九）采购标的是否属于政府购买服务：</w:t>
      </w:r>
      <w:r>
        <w:rPr/>
        <w:t>否</w:t>
      </w:r>
    </w:p>
    <w:p>
      <w:pPr>
        <w:pStyle w:val="null3"/>
      </w:pPr>
      <w:r>
        <w:rPr/>
        <w:t>（十）是否属于政务信息系统项目：</w:t>
      </w:r>
      <w:r>
        <w:rPr/>
        <w:t>否</w:t>
      </w:r>
    </w:p>
    <w:p>
      <w:pPr>
        <w:pStyle w:val="null3"/>
      </w:pPr>
      <w:r>
        <w:rPr/>
        <w:t>（十一）是否属于高校、科研院所的科研仪器设备采购：</w:t>
      </w:r>
      <w:r>
        <w:rPr/>
        <w:t>否</w:t>
      </w:r>
    </w:p>
    <w:p>
      <w:pPr>
        <w:pStyle w:val="null3"/>
      </w:pPr>
      <w:r>
        <w:rPr/>
        <w:t>（十二）是否属于一签多年项目：</w:t>
      </w:r>
      <w:r>
        <w:rPr/>
        <w:t>否</w:t>
      </w:r>
    </w:p>
    <w:p>
      <w:pPr>
        <w:pStyle w:val="null3"/>
        <w:ind w:firstLine="1275"/>
        <w:outlineLvl w:val="2"/>
      </w:pPr>
      <w:r>
        <w:rPr>
          <w:sz w:val="28"/>
          <w:b/>
        </w:rPr>
        <w:t>四、项目需求及分包情况、采购标的</w:t>
      </w:r>
    </w:p>
    <w:p>
      <w:pPr>
        <w:pStyle w:val="null3"/>
        <w:outlineLvl w:val="4"/>
      </w:pPr>
      <w:r>
        <w:rPr>
          <w:sz w:val="20"/>
          <w:b/>
        </w:rPr>
        <w:t>（</w:t>
      </w:r>
      <w:r>
        <w:rPr>
          <w:sz w:val="20"/>
          <w:b/>
        </w:rPr>
        <w:t>一</w:t>
      </w:r>
      <w:r>
        <w:rPr>
          <w:sz w:val="20"/>
          <w:b/>
        </w:rPr>
        <w:t>）分包名称：</w:t>
      </w:r>
      <w:r>
        <w:rPr>
          <w:sz w:val="20"/>
          <w:b/>
        </w:rPr>
        <w:t>市一中学生健康体检项目</w:t>
      </w:r>
    </w:p>
    <w:p>
      <w:pPr>
        <w:pStyle w:val="null3"/>
      </w:pPr>
      <w:r>
        <w:rPr/>
        <w:t>1、执行政府采购促进中小企业发展的相关政策</w:t>
      </w:r>
    </w:p>
    <w:p>
      <w:pPr>
        <w:pStyle w:val="null3"/>
      </w:pPr>
      <w:r>
        <w:rPr>
          <w:color w:val="000000"/>
        </w:rPr>
        <w:t>1)</w:t>
      </w:r>
      <w:r>
        <w:rPr/>
        <w:t>专门面向中小企业采购</w:t>
      </w:r>
    </w:p>
    <w:p>
      <w:pPr>
        <w:pStyle w:val="null3"/>
        <w:ind w:firstLine="840"/>
      </w:pPr>
      <w:r>
        <w:rPr>
          <w:color w:val="000000"/>
        </w:rPr>
        <w:t>2)面向的企业规模：</w:t>
      </w:r>
      <w:r>
        <w:rPr/>
        <w:t>小微企业</w:t>
      </w:r>
    </w:p>
    <w:p>
      <w:pPr>
        <w:pStyle w:val="null3"/>
        <w:ind w:firstLine="840"/>
      </w:pPr>
      <w:r>
        <w:rPr>
          <w:color w:val="000000"/>
        </w:rPr>
        <w:t>3)预留形式：</w:t>
      </w:r>
      <w:r>
        <w:rPr/>
        <w:t>设置专门采购包</w:t>
      </w:r>
    </w:p>
    <w:p>
      <w:pPr>
        <w:pStyle w:val="null3"/>
        <w:ind w:firstLine="840"/>
      </w:pPr>
      <w:r>
        <w:rPr>
          <w:color w:val="000000"/>
        </w:rPr>
        <w:t>4)预留比例：</w:t>
      </w:r>
      <w:r>
        <w:rPr/>
        <w:t>100%</w:t>
      </w:r>
    </w:p>
    <w:p>
      <w:pPr>
        <w:pStyle w:val="null3"/>
      </w:pPr>
      <w:r>
        <w:rPr/>
        <w:t>2、预算金额（元）：</w:t>
      </w:r>
      <w:r>
        <w:rPr/>
        <w:t>532,015.00</w:t>
      </w:r>
      <w:r>
        <w:rPr/>
        <w:t xml:space="preserve"> ，大写（人民币）： </w:t>
      </w:r>
      <w:r>
        <w:rPr/>
        <w:t>伍拾叁万贰仟零壹拾伍元整</w:t>
      </w:r>
    </w:p>
    <w:p>
      <w:pPr>
        <w:pStyle w:val="null3"/>
        <w:ind w:firstLine="780"/>
      </w:pPr>
      <w:r>
        <w:rPr/>
        <w:t xml:space="preserve"> 最高限价（元）： </w:t>
      </w:r>
      <w:r>
        <w:rPr/>
        <w:t>532,015.00</w:t>
      </w:r>
      <w:r>
        <w:rPr/>
        <w:t xml:space="preserve"> ，大写（人民币）： </w:t>
      </w:r>
      <w:r>
        <w:rPr/>
        <w:t>伍拾叁万贰仟零壹拾伍元整</w:t>
      </w:r>
    </w:p>
    <w:p>
      <w:pPr>
        <w:pStyle w:val="null3"/>
      </w:pPr>
      <w:r>
        <w:rPr/>
        <w:t>3、评审方法：</w:t>
      </w:r>
      <w:r>
        <w:rPr/>
        <w:t>综合评分法</w:t>
      </w:r>
    </w:p>
    <w:p>
      <w:pPr>
        <w:pStyle w:val="null3"/>
      </w:pPr>
      <w:r>
        <w:rPr/>
        <w:t>4、是否支持联合体投标：</w:t>
      </w:r>
      <w:r>
        <w:rPr/>
        <w:t>否</w:t>
      </w:r>
    </w:p>
    <w:p>
      <w:pPr>
        <w:pStyle w:val="null3"/>
      </w:pPr>
      <w:r>
        <w:rPr/>
        <w:t>5、是否允许合同分包选项：</w:t>
      </w:r>
      <w:r>
        <w:rPr/>
        <w:t>否</w:t>
      </w:r>
    </w:p>
    <w:p>
      <w:pPr>
        <w:pStyle w:val="null3"/>
      </w:pPr>
      <w:r>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t>1</w:t>
            </w:r>
          </w:p>
        </w:tc>
        <w:tc>
          <w:tcPr>
            <w:tcW w:type="dxa" w:w="1993"/>
          </w:tcPr>
          <w:p>
            <w:pPr>
              <w:pStyle w:val="null3"/>
              <w:jc w:val="center"/>
            </w:pPr>
            <w:r>
              <w:rPr>
                <w:b/>
                <w:color w:val="000000"/>
              </w:rPr>
              <w:t>采购品目</w:t>
            </w:r>
          </w:p>
        </w:tc>
        <w:tc>
          <w:tcPr>
            <w:tcW w:type="dxa" w:w="1661"/>
          </w:tcPr>
          <w:p>
            <w:pPr>
              <w:pStyle w:val="null3"/>
            </w:pPr>
            <w:r>
              <w:rPr/>
              <w:t>其他健康检查服务</w:t>
            </w:r>
          </w:p>
        </w:tc>
        <w:tc>
          <w:tcPr>
            <w:tcW w:type="dxa" w:w="1993"/>
          </w:tcPr>
          <w:p>
            <w:pPr>
              <w:pStyle w:val="null3"/>
              <w:jc w:val="center"/>
            </w:pPr>
            <w:r>
              <w:rPr>
                <w:b/>
                <w:color w:val="000000"/>
              </w:rPr>
              <w:t>标的名称</w:t>
            </w:r>
          </w:p>
        </w:tc>
        <w:tc>
          <w:tcPr>
            <w:tcW w:type="dxa" w:w="1661"/>
          </w:tcPr>
          <w:p>
            <w:pPr>
              <w:pStyle w:val="null3"/>
            </w:pPr>
            <w:r>
              <w:rPr/>
              <w:t>在籍学生基本体检项目及实验室检查项目</w:t>
            </w:r>
          </w:p>
        </w:tc>
      </w:tr>
      <w:tr>
        <w:tc>
          <w:tcPr>
            <w:tcW w:type="dxa" w:w="997"/>
            <w:vMerge/>
          </w:tcPr>
          <w:p/>
        </w:tc>
        <w:tc>
          <w:tcPr>
            <w:tcW w:type="dxa" w:w="1993"/>
          </w:tcPr>
          <w:p>
            <w:pPr>
              <w:pStyle w:val="null3"/>
              <w:jc w:val="center"/>
            </w:pPr>
            <w:r>
              <w:rPr>
                <w:b/>
                <w:color w:val="000000"/>
              </w:rPr>
              <w:t>数量</w:t>
            </w:r>
          </w:p>
        </w:tc>
        <w:tc>
          <w:tcPr>
            <w:tcW w:type="dxa" w:w="1661"/>
          </w:tcPr>
          <w:p>
            <w:pPr>
              <w:pStyle w:val="null3"/>
              <w:jc w:val="right"/>
            </w:pPr>
            <w:r>
              <w:rPr/>
              <w:t>6,259.00</w:t>
            </w:r>
          </w:p>
        </w:tc>
        <w:tc>
          <w:tcPr>
            <w:tcW w:type="dxa" w:w="1993"/>
          </w:tcPr>
          <w:p>
            <w:pPr>
              <w:pStyle w:val="null3"/>
              <w:jc w:val="center"/>
            </w:pPr>
            <w:r>
              <w:rPr>
                <w:b/>
                <w:color w:val="000000"/>
              </w:rPr>
              <w:t>单位</w:t>
            </w:r>
          </w:p>
        </w:tc>
        <w:tc>
          <w:tcPr>
            <w:tcW w:type="dxa" w:w="1661"/>
          </w:tcPr>
          <w:p>
            <w:pPr>
              <w:pStyle w:val="null3"/>
            </w:pPr>
            <w:r>
              <w:rPr/>
              <w:t>人</w:t>
            </w:r>
          </w:p>
        </w:tc>
      </w:tr>
      <w:tr>
        <w:tc>
          <w:tcPr>
            <w:tcW w:type="dxa" w:w="997"/>
            <w:vMerge/>
          </w:tcPr>
          <w:p/>
        </w:tc>
        <w:tc>
          <w:tcPr>
            <w:tcW w:type="dxa" w:w="1993"/>
          </w:tcPr>
          <w:p>
            <w:pPr>
              <w:pStyle w:val="null3"/>
              <w:jc w:val="center"/>
            </w:pPr>
            <w:r>
              <w:rPr>
                <w:b/>
                <w:color w:val="000000"/>
              </w:rPr>
              <w:t>合计金额（元）</w:t>
            </w:r>
          </w:p>
        </w:tc>
        <w:tc>
          <w:tcPr>
            <w:tcW w:type="dxa" w:w="1661"/>
          </w:tcPr>
          <w:p>
            <w:pPr>
              <w:pStyle w:val="null3"/>
              <w:jc w:val="right"/>
            </w:pPr>
            <w:r>
              <w:rPr/>
              <w:t>532,015.00</w:t>
            </w:r>
          </w:p>
        </w:tc>
        <w:tc>
          <w:tcPr>
            <w:tcW w:type="dxa" w:w="1993"/>
          </w:tcPr>
          <w:p>
            <w:pPr>
              <w:pStyle w:val="null3"/>
              <w:jc w:val="center"/>
            </w:pPr>
            <w:r>
              <w:rPr>
                <w:b/>
                <w:color w:val="000000"/>
              </w:rPr>
              <w:t>单价（元）</w:t>
            </w:r>
          </w:p>
        </w:tc>
        <w:tc>
          <w:tcPr>
            <w:tcW w:type="dxa" w:w="1661"/>
          </w:tcPr>
          <w:p>
            <w:pPr>
              <w:pStyle w:val="null3"/>
              <w:jc w:val="right"/>
            </w:pPr>
            <w:r>
              <w:rPr/>
              <w:t>85.00</w:t>
            </w:r>
          </w:p>
        </w:tc>
      </w:tr>
      <w:tr>
        <w:tc>
          <w:tcPr>
            <w:tcW w:type="dxa" w:w="997"/>
            <w:vMerge/>
          </w:tcPr>
          <w:p/>
        </w:tc>
        <w:tc>
          <w:tcPr>
            <w:tcW w:type="dxa" w:w="1993"/>
          </w:tcPr>
          <w:p>
            <w:pPr>
              <w:pStyle w:val="null3"/>
              <w:jc w:val="center"/>
            </w:pPr>
            <w:r>
              <w:rPr>
                <w:b/>
                <w:color w:val="000000"/>
              </w:rPr>
              <w:t>是否采购节能产品</w:t>
            </w:r>
          </w:p>
        </w:tc>
        <w:tc>
          <w:tcPr>
            <w:tcW w:type="dxa" w:w="1661"/>
          </w:tcPr>
          <w:p>
            <w:pPr>
              <w:pStyle w:val="null3"/>
            </w:pPr>
            <w:r>
              <w:rPr/>
              <w:t>否</w:t>
            </w:r>
          </w:p>
        </w:tc>
        <w:tc>
          <w:tcPr>
            <w:tcW w:type="dxa" w:w="1993"/>
          </w:tcPr>
          <w:p>
            <w:pPr>
              <w:pStyle w:val="null3"/>
              <w:jc w:val="center"/>
            </w:pPr>
            <w:r>
              <w:rPr>
                <w:b/>
                <w:color w:val="000000"/>
              </w:rPr>
              <w:t>未采购节能产品原因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是否采购环保产品</w:t>
            </w:r>
          </w:p>
        </w:tc>
        <w:tc>
          <w:tcPr>
            <w:tcW w:type="dxa" w:w="1661"/>
          </w:tcPr>
          <w:p>
            <w:pPr>
              <w:pStyle w:val="null3"/>
            </w:pPr>
            <w:r>
              <w:rPr/>
              <w:t>否</w:t>
            </w:r>
          </w:p>
        </w:tc>
        <w:tc>
          <w:tcPr>
            <w:tcW w:type="dxa" w:w="1993"/>
          </w:tcPr>
          <w:p>
            <w:pPr>
              <w:pStyle w:val="null3"/>
              <w:jc w:val="center"/>
            </w:pPr>
            <w:r>
              <w:rPr>
                <w:b/>
                <w:color w:val="000000"/>
              </w:rPr>
              <w:t>未采购环保产品原因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是否采购进口产品</w:t>
            </w:r>
          </w:p>
        </w:tc>
        <w:tc>
          <w:tcPr>
            <w:tcW w:type="dxa" w:w="1661"/>
          </w:tcPr>
          <w:p>
            <w:pPr>
              <w:pStyle w:val="null3"/>
            </w:pPr>
            <w:r>
              <w:rPr/>
              <w:t>否</w:t>
            </w:r>
          </w:p>
        </w:tc>
        <w:tc>
          <w:tcPr>
            <w:tcW w:type="dxa" w:w="1993"/>
          </w:tcPr>
          <w:p>
            <w:pPr>
              <w:pStyle w:val="null3"/>
              <w:jc w:val="center"/>
            </w:pPr>
            <w:r>
              <w:rPr>
                <w:b/>
                <w:color w:val="000000"/>
              </w:rPr>
              <w:t>标的物所属行业</w:t>
            </w:r>
          </w:p>
        </w:tc>
        <w:tc>
          <w:tcPr>
            <w:tcW w:type="dxa" w:w="1661"/>
          </w:tcPr>
          <w:p>
            <w:pPr>
              <w:pStyle w:val="null3"/>
            </w:pPr>
            <w:r>
              <w:rPr/>
              <w:t>其他未列明行业</w:t>
            </w:r>
          </w:p>
        </w:tc>
      </w:tr>
    </w:tbl>
    <w:p>
      <w:pPr>
        <w:pStyle w:val="null3"/>
      </w:pPr>
      <w:r>
        <w:rPr/>
        <w:t>标的名称：在籍学生基本体检项目及实验室检查项目</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 xml:space="preserve"> 参数性质</w:t>
            </w:r>
          </w:p>
        </w:tc>
        <w:tc>
          <w:tcPr>
            <w:tcW w:type="dxa" w:w="2769"/>
          </w:tcPr>
          <w:p>
            <w:pPr>
              <w:pStyle w:val="null3"/>
            </w:pPr>
            <w:r>
              <w:rPr/>
              <w:t xml:space="preserve"> 序号</w:t>
            </w:r>
          </w:p>
        </w:tc>
        <w:tc>
          <w:tcPr>
            <w:tcW w:type="dxa" w:w="2769"/>
          </w:tcPr>
          <w:p>
            <w:pPr>
              <w:pStyle w:val="null3"/>
            </w:pPr>
            <w:r>
              <w:rPr/>
              <w:t xml:space="preserve"> 技术参数与性能指标</w:t>
            </w:r>
          </w:p>
        </w:tc>
      </w:tr>
      <w:tr>
        <w:tc>
          <w:tcPr>
            <w:tcW w:type="dxa" w:w="2769"/>
          </w:tcPr>
          <w:p/>
        </w:tc>
        <w:tc>
          <w:tcPr>
            <w:tcW w:type="dxa" w:w="2769"/>
          </w:tcPr>
          <w:p>
            <w:pPr>
              <w:pStyle w:val="null3"/>
            </w:pPr>
            <w:r>
              <w:rPr/>
              <w:t>1</w:t>
            </w:r>
          </w:p>
        </w:tc>
        <w:tc>
          <w:tcPr>
            <w:tcW w:type="dxa" w:w="2769"/>
          </w:tcPr>
          <w:p>
            <w:pPr>
              <w:pStyle w:val="null3"/>
            </w:pPr>
            <w:r>
              <w:rPr/>
              <w:t>一、体检项目</w:t>
            </w:r>
            <w:r>
              <w:br/>
            </w:r>
            <w:r>
              <w:rPr/>
              <w:t xml:space="preserve"> 根据《中小学生健康体检管理办法（2021年版）》要求，体检项目如下：</w:t>
            </w:r>
            <w:r>
              <w:br/>
            </w:r>
            <w:r>
              <w:rPr/>
              <w:t xml:space="preserve"> （一）询问既往疾病史。</w:t>
            </w:r>
            <w:r>
              <w:br/>
            </w:r>
            <w:r>
              <w:rPr/>
              <w:t xml:space="preserve"> （二）体检项目。</w:t>
            </w:r>
            <w:r>
              <w:br/>
            </w:r>
            <w:r>
              <w:rPr/>
              <w:t xml:space="preserve"> 1.基本项目：</w:t>
            </w:r>
            <w:r>
              <w:br/>
            </w:r>
            <w:r>
              <w:rPr/>
              <w:t xml:space="preserve"> 形态指标检查：身高、体重、腰围；</w:t>
            </w:r>
            <w:r>
              <w:br/>
            </w:r>
            <w:r>
              <w:rPr/>
              <w:t xml:space="preserve"> 内科检查：心、肺、肝、脾，血压，肺活量；</w:t>
            </w:r>
            <w:r>
              <w:br/>
            </w:r>
            <w:r>
              <w:rPr/>
              <w:t xml:space="preserve"> 外科检查：头部、颈部、胸部、脊柱、四肢、皮肤、淋巴结；</w:t>
            </w:r>
            <w:r>
              <w:br/>
            </w:r>
            <w:r>
              <w:rPr/>
              <w:t xml:space="preserve"> 眼科检查：眼外观、远视力、屈光度；</w:t>
            </w:r>
            <w:r>
              <w:br/>
            </w:r>
            <w:r>
              <w:rPr/>
              <w:t xml:space="preserve"> 口腔科检查：牙齿、牙周；</w:t>
            </w:r>
            <w:r>
              <w:br/>
            </w:r>
            <w:r>
              <w:rPr/>
              <w:t xml:space="preserve"> 实验室检查：血常规；肝功能；</w:t>
            </w:r>
            <w:r>
              <w:br/>
            </w:r>
            <w:r>
              <w:rPr/>
              <w:t xml:space="preserve"> 其他检查：结核菌素检测。</w:t>
            </w:r>
            <w:r>
              <w:br/>
            </w:r>
            <w:r>
              <w:rPr/>
              <w:t xml:space="preserve"> 二、场地、物资准备及体检流程</w:t>
            </w:r>
            <w:r>
              <w:br/>
            </w:r>
            <w:r>
              <w:rPr/>
              <w:t xml:space="preserve"> 学校指定专人负责协调对接，提供体检场地、电源，按班级提供学生花名册。</w:t>
            </w:r>
            <w:r>
              <w:br/>
            </w:r>
            <w:r>
              <w:rPr/>
              <w:t xml:space="preserve"> 体检单位成立市一中学生健康体检工作专班，准备必要的体检用表、检查器械、试剂耗材、医废桶及医废袋等。严格按照操作规程进行检查，确保体检结果的准确性和可靠性。</w:t>
            </w:r>
            <w:r>
              <w:br/>
            </w:r>
            <w:r>
              <w:rPr/>
              <w:t xml:space="preserve"> 学生体检分为登记、测量、检查、评估和反馈等环节进行。</w:t>
            </w:r>
            <w:r>
              <w:br/>
            </w:r>
            <w:r>
              <w:rPr/>
              <w:t xml:space="preserve"> 三、体检结果反馈</w:t>
            </w:r>
            <w:r>
              <w:br/>
            </w:r>
            <w:r>
              <w:rPr/>
              <w:t xml:space="preserve"> 体检单位以国家统一的体检用表形式向学校反馈学生个体健康体检结果，并由学校向学生及其监护人反馈。体检表内容包括学生个体体检项目的客观结果、对体检结果的综合评价以及健康指导建议，以超重、肥胖、营养不良、脊柱弯曲异常、视力不良、龋齿须作为指导的重点。我中心依法保障学生及其家庭等信息不外泄。</w:t>
            </w:r>
            <w:r>
              <w:br/>
            </w:r>
            <w:r>
              <w:rPr/>
              <w:t xml:space="preserve"> 体检单位以学生体检结果分析报告的形式向学校反馈学生健康体检结果。内容包括学校不同年级男女生的生长发育水平，营养状况分布，脊柱弯曲异常、视力不良、龋齿、缺陷检出率，不同年级存在的主要健康问题以及健康指导建议。</w:t>
            </w:r>
          </w:p>
        </w:tc>
      </w:tr>
    </w:tbl>
    <w:p>
      <w:pPr>
        <w:pStyle w:val="null3"/>
      </w:pPr>
      <w:r>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供应商应具备《中华人民共和国政府采购法》第二十二条规定的条件</w:t>
            </w:r>
          </w:p>
        </w:tc>
        <w:tc>
          <w:tcPr>
            <w:tcW w:type="dxa" w:w="2769"/>
          </w:tcPr>
          <w:p>
            <w:pPr>
              <w:pStyle w:val="null3"/>
            </w:pPr>
            <w:r>
              <w:rPr/>
              <w:t>供应商需在项目电子化交易系统中按要求填写《投标函》完成承诺并进行电子签章。</w:t>
            </w:r>
          </w:p>
        </w:tc>
      </w:tr>
      <w:tr>
        <w:tc>
          <w:tcPr>
            <w:tcW w:type="dxa" w:w="2769"/>
          </w:tcPr>
          <w:p>
            <w:pPr>
              <w:pStyle w:val="null3"/>
            </w:pPr>
            <w:r>
              <w:rPr/>
              <w:t>2</w:t>
            </w:r>
          </w:p>
        </w:tc>
        <w:tc>
          <w:tcPr>
            <w:tcW w:type="dxa" w:w="2769"/>
          </w:tcPr>
          <w:p>
            <w:pPr>
              <w:pStyle w:val="null3"/>
            </w:pPr>
            <w:r>
              <w:rPr/>
              <w:t>供应商应提供健全的财务会计制度的证明材料；</w:t>
            </w:r>
          </w:p>
        </w:tc>
        <w:tc>
          <w:tcPr>
            <w:tcW w:type="dxa" w:w="2769"/>
          </w:tcPr>
          <w:p>
            <w:pPr>
              <w:pStyle w:val="null3"/>
            </w:pPr>
            <w:r>
              <w:rPr/>
              <w:t>供应商需在项目电子化交易系统中按要求上传相应证明文件并进行电子签章。</w:t>
            </w:r>
          </w:p>
        </w:tc>
      </w:tr>
      <w:tr>
        <w:tc>
          <w:tcPr>
            <w:tcW w:type="dxa" w:w="2769"/>
          </w:tcPr>
          <w:p>
            <w:pPr>
              <w:pStyle w:val="null3"/>
            </w:pPr>
            <w:r>
              <w:rPr/>
              <w:t>3</w:t>
            </w:r>
          </w:p>
        </w:tc>
        <w:tc>
          <w:tcPr>
            <w:tcW w:type="dxa" w:w="2769"/>
          </w:tcPr>
          <w:p>
            <w:pPr>
              <w:pStyle w:val="null3"/>
            </w:pPr>
            <w:r>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t>供应商需在项目电子化交易系统中按要求填写《投标函》完成承诺并进行电子签章。</w:t>
            </w:r>
          </w:p>
        </w:tc>
      </w:tr>
    </w:tbl>
    <w:p>
      <w:pPr>
        <w:pStyle w:val="null3"/>
      </w:pPr>
      <w:r>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具有独立承担民事责任的能力的相关证明</w:t>
            </w:r>
          </w:p>
        </w:tc>
        <w:tc>
          <w:tcPr>
            <w:tcW w:type="dxa" w:w="2769"/>
          </w:tcPr>
          <w:p>
            <w:pPr>
              <w:pStyle w:val="null3"/>
            </w:pPr>
            <w:r>
              <w:rPr/>
              <w:t>具有独立承担民事责任能力的法人、其他组织或自然人，并出具合法有效的营业执照或事业单位法人证书等国家规定的相关证明，自然人参与的提供其身份证明</w:t>
            </w:r>
          </w:p>
        </w:tc>
      </w:tr>
      <w:tr>
        <w:tc>
          <w:tcPr>
            <w:tcW w:type="dxa" w:w="2769"/>
          </w:tcPr>
          <w:p>
            <w:pPr>
              <w:pStyle w:val="null3"/>
            </w:pPr>
            <w:r>
              <w:rPr/>
              <w:t>2</w:t>
            </w:r>
          </w:p>
        </w:tc>
        <w:tc>
          <w:tcPr>
            <w:tcW w:type="dxa" w:w="2769"/>
          </w:tcPr>
          <w:p>
            <w:pPr>
              <w:pStyle w:val="null3"/>
            </w:pPr>
            <w:r>
              <w:rPr/>
              <w:t>供应商资质</w:t>
            </w:r>
          </w:p>
        </w:tc>
        <w:tc>
          <w:tcPr>
            <w:tcW w:type="dxa" w:w="2769"/>
          </w:tcPr>
          <w:p>
            <w:pPr>
              <w:pStyle w:val="null3"/>
            </w:pPr>
            <w:r>
              <w:rPr/>
              <w:t>供应商须具备卫生行政部门颁发的《医疗机构执业许可证》《放射诊疗许可证》</w:t>
            </w:r>
          </w:p>
        </w:tc>
      </w:tr>
      <w:tr>
        <w:tc>
          <w:tcPr>
            <w:tcW w:type="dxa" w:w="2769"/>
          </w:tcPr>
          <w:p>
            <w:pPr>
              <w:pStyle w:val="null3"/>
            </w:pPr>
            <w:r>
              <w:rPr/>
              <w:t>3</w:t>
            </w:r>
          </w:p>
        </w:tc>
        <w:tc>
          <w:tcPr>
            <w:tcW w:type="dxa" w:w="2769"/>
          </w:tcPr>
          <w:p>
            <w:pPr>
              <w:pStyle w:val="null3"/>
            </w:pPr>
            <w:r>
              <w:rPr/>
              <w:t>供应商授权合法的人参加采购</w:t>
            </w:r>
          </w:p>
        </w:tc>
        <w:tc>
          <w:tcPr>
            <w:tcW w:type="dxa" w:w="2769"/>
          </w:tcPr>
          <w:p>
            <w:pPr>
              <w:pStyle w:val="null3"/>
            </w:pPr>
            <w:r>
              <w:rPr/>
              <w:t>法定代表人直接参加的，须提交法定代表人身份证原件。法定代表人授权代表参加的，须出具法定代表人授权书及授权代表身份证明</w:t>
            </w:r>
          </w:p>
        </w:tc>
      </w:tr>
      <w:tr>
        <w:tc>
          <w:tcPr>
            <w:tcW w:type="dxa" w:w="2769"/>
          </w:tcPr>
          <w:p>
            <w:pPr>
              <w:pStyle w:val="null3"/>
            </w:pPr>
            <w:r>
              <w:rPr/>
              <w:t>4</w:t>
            </w:r>
          </w:p>
        </w:tc>
        <w:tc>
          <w:tcPr>
            <w:tcW w:type="dxa" w:w="2769"/>
          </w:tcPr>
          <w:p>
            <w:pPr>
              <w:pStyle w:val="null3"/>
            </w:pPr>
            <w:r>
              <w:rPr/>
              <w:t>财务状况报告</w:t>
            </w:r>
          </w:p>
        </w:tc>
        <w:tc>
          <w:tcPr>
            <w:tcW w:type="dxa" w:w="2769"/>
          </w:tcPr>
          <w:p>
            <w:pPr>
              <w:pStyle w:val="null3"/>
            </w:pPr>
            <w:r>
              <w:rPr/>
              <w:t>提供2022或2023年度的财务审计报告(至少包括资产负债表和利润表，成立时间至提交响应文件载止时间不足一年的可提供成立后任意时段的资产负债表)或其基本存款账户开户银行出具的资信证明及基本存款账户开户许可</w:t>
            </w:r>
          </w:p>
        </w:tc>
      </w:tr>
      <w:tr>
        <w:tc>
          <w:tcPr>
            <w:tcW w:type="dxa" w:w="2769"/>
          </w:tcPr>
          <w:p>
            <w:pPr>
              <w:pStyle w:val="null3"/>
            </w:pPr>
            <w:r>
              <w:rPr/>
              <w:t>5</w:t>
            </w:r>
          </w:p>
        </w:tc>
        <w:tc>
          <w:tcPr>
            <w:tcW w:type="dxa" w:w="2769"/>
          </w:tcPr>
          <w:p>
            <w:pPr>
              <w:pStyle w:val="null3"/>
            </w:pPr>
            <w:r>
              <w:rPr/>
              <w:t>社保缴纳证明</w:t>
            </w:r>
          </w:p>
        </w:tc>
        <w:tc>
          <w:tcPr>
            <w:tcW w:type="dxa" w:w="2769"/>
          </w:tcPr>
          <w:p>
            <w:pPr>
              <w:pStyle w:val="null3"/>
            </w:pPr>
            <w:r>
              <w:rPr/>
              <w:t>提供2024年5月至今已缴存任意一个月社会保障资金缴存单据或社保机构开具的社会保险参保缴费证明，依法不需要缴纳社会保障资金的单位应提供相应证明文件</w:t>
            </w:r>
          </w:p>
        </w:tc>
      </w:tr>
      <w:tr>
        <w:tc>
          <w:tcPr>
            <w:tcW w:type="dxa" w:w="2769"/>
          </w:tcPr>
          <w:p>
            <w:pPr>
              <w:pStyle w:val="null3"/>
            </w:pPr>
            <w:r>
              <w:rPr/>
              <w:t>6</w:t>
            </w:r>
          </w:p>
        </w:tc>
        <w:tc>
          <w:tcPr>
            <w:tcW w:type="dxa" w:w="2769"/>
          </w:tcPr>
          <w:p>
            <w:pPr>
              <w:pStyle w:val="null3"/>
            </w:pPr>
            <w:r>
              <w:rPr/>
              <w:t>税收缴纳证明</w:t>
            </w:r>
          </w:p>
        </w:tc>
        <w:tc>
          <w:tcPr>
            <w:tcW w:type="dxa" w:w="2769"/>
          </w:tcPr>
          <w:p>
            <w:pPr>
              <w:pStyle w:val="null3"/>
            </w:pPr>
            <w:r>
              <w:rPr/>
              <w:t>提供2024年5月至今已缴纳的至少一个月的纳税证明或完税证明(时间以税款所属日期为准、税种为任意税种)，依法免税的单位应提供相关证明材料</w:t>
            </w:r>
          </w:p>
        </w:tc>
      </w:tr>
      <w:tr>
        <w:tc>
          <w:tcPr>
            <w:tcW w:type="dxa" w:w="2769"/>
          </w:tcPr>
          <w:p>
            <w:pPr>
              <w:pStyle w:val="null3"/>
            </w:pPr>
            <w:r>
              <w:rPr/>
              <w:t>7</w:t>
            </w:r>
          </w:p>
        </w:tc>
        <w:tc>
          <w:tcPr>
            <w:tcW w:type="dxa" w:w="2769"/>
          </w:tcPr>
          <w:p>
            <w:pPr>
              <w:pStyle w:val="null3"/>
            </w:pPr>
            <w:r>
              <w:rPr/>
              <w:t>书面声明</w:t>
            </w:r>
          </w:p>
        </w:tc>
        <w:tc>
          <w:tcPr>
            <w:tcW w:type="dxa" w:w="2769"/>
          </w:tcPr>
          <w:p>
            <w:pPr>
              <w:pStyle w:val="null3"/>
            </w:pPr>
            <w:r>
              <w:rPr/>
              <w:t>参加本次政府采购活动前三年内在经营活动中没有重大违纪，以及未被列入失信被执行人、重大税收违法失信主体、政府采购严重违法失信行为记录名单的书面声明</w:t>
            </w:r>
          </w:p>
        </w:tc>
      </w:tr>
      <w:tr>
        <w:tc>
          <w:tcPr>
            <w:tcW w:type="dxa" w:w="2769"/>
          </w:tcPr>
          <w:p>
            <w:pPr>
              <w:pStyle w:val="null3"/>
            </w:pPr>
            <w:r>
              <w:rPr/>
              <w:t>8</w:t>
            </w:r>
          </w:p>
        </w:tc>
        <w:tc>
          <w:tcPr>
            <w:tcW w:type="dxa" w:w="2769"/>
          </w:tcPr>
          <w:p>
            <w:pPr>
              <w:pStyle w:val="null3"/>
            </w:pPr>
            <w:r>
              <w:rPr/>
              <w:t>具有履行合同所必需的设备和专业技术能力</w:t>
            </w:r>
          </w:p>
        </w:tc>
        <w:tc>
          <w:tcPr>
            <w:tcW w:type="dxa" w:w="2769"/>
          </w:tcPr>
          <w:p>
            <w:pPr>
              <w:pStyle w:val="null3"/>
            </w:pPr>
            <w:r>
              <w:rPr/>
              <w:t>提供具有履行合同所必需的设备和专业技术能力的承诺函</w:t>
            </w:r>
          </w:p>
        </w:tc>
      </w:tr>
    </w:tbl>
    <w:p>
      <w:pPr>
        <w:pStyle w:val="null3"/>
      </w:pPr>
      <w:r>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评审项编号</w:t>
            </w:r>
          </w:p>
        </w:tc>
        <w:tc>
          <w:tcPr>
            <w:tcW w:type="dxa" w:w="1384"/>
          </w:tcPr>
          <w:p>
            <w:pPr>
              <w:pStyle w:val="null3"/>
            </w:pPr>
            <w:r>
              <w:rPr/>
              <w:t>一级评审项</w:t>
            </w:r>
          </w:p>
        </w:tc>
        <w:tc>
          <w:tcPr>
            <w:tcW w:type="dxa" w:w="1384"/>
          </w:tcPr>
          <w:p>
            <w:pPr>
              <w:pStyle w:val="null3"/>
            </w:pPr>
            <w:r>
              <w:rPr/>
              <w:t>二级评审项</w:t>
            </w:r>
          </w:p>
        </w:tc>
        <w:tc>
          <w:tcPr>
            <w:tcW w:type="dxa" w:w="1384"/>
          </w:tcPr>
          <w:p>
            <w:pPr>
              <w:pStyle w:val="null3"/>
            </w:pPr>
            <w:r>
              <w:rPr/>
              <w:t>详细要求</w:t>
            </w:r>
          </w:p>
        </w:tc>
        <w:tc>
          <w:tcPr>
            <w:tcW w:type="dxa" w:w="1384"/>
          </w:tcPr>
          <w:p>
            <w:pPr>
              <w:pStyle w:val="null3"/>
            </w:pPr>
            <w:r>
              <w:rPr/>
              <w:t>分值</w:t>
            </w:r>
          </w:p>
        </w:tc>
        <w:tc>
          <w:tcPr>
            <w:tcW w:type="dxa" w:w="1384"/>
          </w:tcPr>
          <w:p>
            <w:pPr>
              <w:pStyle w:val="null3"/>
            </w:pPr>
            <w:r>
              <w:rPr/>
              <w:t>客观评审项</w:t>
            </w:r>
          </w:p>
        </w:tc>
      </w:tr>
      <w:tr>
        <w:tc>
          <w:tcPr>
            <w:tcW w:type="dxa" w:w="1384"/>
          </w:tcPr>
          <w:p>
            <w:pPr>
              <w:pStyle w:val="null3"/>
            </w:pPr>
            <w:r>
              <w:rPr/>
              <w:t>1</w:t>
            </w:r>
          </w:p>
        </w:tc>
        <w:tc>
          <w:tcPr>
            <w:tcW w:type="dxa" w:w="1384"/>
          </w:tcPr>
          <w:p>
            <w:pPr>
              <w:pStyle w:val="null3"/>
            </w:pPr>
            <w:r>
              <w:rPr/>
              <w:t>详细评审</w:t>
            </w:r>
          </w:p>
        </w:tc>
        <w:tc>
          <w:tcPr>
            <w:tcW w:type="dxa" w:w="1384"/>
          </w:tcPr>
          <w:p>
            <w:pPr>
              <w:pStyle w:val="null3"/>
            </w:pPr>
            <w:r>
              <w:rPr/>
              <w:t>服务方案</w:t>
            </w:r>
          </w:p>
        </w:tc>
        <w:tc>
          <w:tcPr>
            <w:tcW w:type="dxa" w:w="1384"/>
          </w:tcPr>
          <w:p>
            <w:pPr>
              <w:pStyle w:val="null3"/>
            </w:pPr>
            <w:r>
              <w:rPr/>
              <w:t>一、根据供应商提供的服务方案，主要从以下方面进行评分 (包括但不限于)：①体检流程；②体检发现疾病的后续服务；③投诉处理流程；④隐私保护措施； 二、评分标准： 1.内容详细全面、架构完整、层次清楚、完善可行的计20-30分； 2.内容较详细、有一定可行性计10-20分； 3.针对以上方案内容，有欠缺或只有框架，方案内容描述简单、不详细的计0-10分；</w:t>
            </w:r>
          </w:p>
        </w:tc>
        <w:tc>
          <w:tcPr>
            <w:tcW w:type="dxa" w:w="1384"/>
          </w:tcPr>
          <w:p>
            <w:pPr>
              <w:pStyle w:val="null3"/>
              <w:jc w:val="right"/>
            </w:pPr>
            <w:r>
              <w:rPr/>
              <w:t>30.0000</w:t>
            </w:r>
          </w:p>
        </w:tc>
        <w:tc>
          <w:tcPr>
            <w:tcW w:type="dxa" w:w="1384"/>
          </w:tcPr>
          <w:p>
            <w:pPr>
              <w:pStyle w:val="null3"/>
            </w:pPr>
            <w:r>
              <w:rPr/>
              <w:t>否</w:t>
            </w:r>
          </w:p>
        </w:tc>
      </w:tr>
      <w:tr>
        <w:tc>
          <w:tcPr>
            <w:tcW w:type="dxa" w:w="1384"/>
          </w:tcPr>
          <w:p>
            <w:pPr>
              <w:pStyle w:val="null3"/>
            </w:pPr>
            <w:r>
              <w:rPr/>
              <w:t>2</w:t>
            </w:r>
          </w:p>
        </w:tc>
        <w:tc>
          <w:tcPr>
            <w:tcW w:type="dxa" w:w="1384"/>
          </w:tcPr>
          <w:p>
            <w:pPr>
              <w:pStyle w:val="null3"/>
            </w:pPr>
            <w:r>
              <w:rPr/>
              <w:t>详细评审</w:t>
            </w:r>
          </w:p>
        </w:tc>
        <w:tc>
          <w:tcPr>
            <w:tcW w:type="dxa" w:w="1384"/>
          </w:tcPr>
          <w:p>
            <w:pPr>
              <w:pStyle w:val="null3"/>
            </w:pPr>
            <w:r>
              <w:rPr/>
              <w:t>保密方案</w:t>
            </w:r>
          </w:p>
        </w:tc>
        <w:tc>
          <w:tcPr>
            <w:tcW w:type="dxa" w:w="1384"/>
          </w:tcPr>
          <w:p>
            <w:pPr>
              <w:pStyle w:val="null3"/>
            </w:pPr>
            <w:r>
              <w:rPr/>
              <w:t>一、针对本项目提出适用于本项目的保密方案，方案包括：①保密措施②保密制度 二、评分标准： 1.内容详细全面、架构完整、层次清楚、完善可行的计10-15分； 2.内容较详细、有一定可行性计5-10分； 3.针对以上方案内容，有欠缺或只有框架，方案内容描述简单、不详细的计0-5分。</w:t>
            </w:r>
          </w:p>
        </w:tc>
        <w:tc>
          <w:tcPr>
            <w:tcW w:type="dxa" w:w="1384"/>
          </w:tcPr>
          <w:p>
            <w:pPr>
              <w:pStyle w:val="null3"/>
              <w:jc w:val="right"/>
            </w:pPr>
            <w:r>
              <w:rPr/>
              <w:t>15.0000</w:t>
            </w:r>
          </w:p>
        </w:tc>
        <w:tc>
          <w:tcPr>
            <w:tcW w:type="dxa" w:w="1384"/>
          </w:tcPr>
          <w:p>
            <w:pPr>
              <w:pStyle w:val="null3"/>
            </w:pPr>
            <w:r>
              <w:rPr/>
              <w:t>否</w:t>
            </w:r>
          </w:p>
        </w:tc>
      </w:tr>
      <w:tr>
        <w:tc>
          <w:tcPr>
            <w:tcW w:type="dxa" w:w="1384"/>
          </w:tcPr>
          <w:p>
            <w:pPr>
              <w:pStyle w:val="null3"/>
            </w:pPr>
            <w:r>
              <w:rPr/>
              <w:t>3</w:t>
            </w:r>
          </w:p>
        </w:tc>
        <w:tc>
          <w:tcPr>
            <w:tcW w:type="dxa" w:w="1384"/>
          </w:tcPr>
          <w:p>
            <w:pPr>
              <w:pStyle w:val="null3"/>
            </w:pPr>
            <w:r>
              <w:rPr/>
              <w:t>详细评审</w:t>
            </w:r>
          </w:p>
        </w:tc>
        <w:tc>
          <w:tcPr>
            <w:tcW w:type="dxa" w:w="1384"/>
          </w:tcPr>
          <w:p>
            <w:pPr>
              <w:pStyle w:val="null3"/>
            </w:pPr>
            <w:r>
              <w:rPr/>
              <w:t>应急处置措施</w:t>
            </w:r>
          </w:p>
        </w:tc>
        <w:tc>
          <w:tcPr>
            <w:tcW w:type="dxa" w:w="1384"/>
          </w:tcPr>
          <w:p>
            <w:pPr>
              <w:pStyle w:val="null3"/>
            </w:pPr>
            <w:r>
              <w:rPr/>
              <w:t>一、供应商根据在体检过程中可能发生的特殊情况（如被体检人晕针、晕血、低血糖、仪器伤害等）制定具有可操作性的应急处置措施。 二、评分标准： 1.内容详细全面、切实可行、科学合理的计6-9分； 2.内容较详细、有一定可行性计3-6分； 3.针对以上方案内容，有欠缺或只有框架，方案内容描述简单、不详细的计0-3分。</w:t>
            </w:r>
          </w:p>
        </w:tc>
        <w:tc>
          <w:tcPr>
            <w:tcW w:type="dxa" w:w="1384"/>
          </w:tcPr>
          <w:p>
            <w:pPr>
              <w:pStyle w:val="null3"/>
              <w:jc w:val="right"/>
            </w:pPr>
            <w:r>
              <w:rPr/>
              <w:t>9.0000</w:t>
            </w:r>
          </w:p>
        </w:tc>
        <w:tc>
          <w:tcPr>
            <w:tcW w:type="dxa" w:w="1384"/>
          </w:tcPr>
          <w:p>
            <w:pPr>
              <w:pStyle w:val="null3"/>
            </w:pPr>
            <w:r>
              <w:rPr/>
              <w:t>否</w:t>
            </w:r>
          </w:p>
        </w:tc>
      </w:tr>
      <w:tr>
        <w:tc>
          <w:tcPr>
            <w:tcW w:type="dxa" w:w="1384"/>
          </w:tcPr>
          <w:p>
            <w:pPr>
              <w:pStyle w:val="null3"/>
            </w:pPr>
            <w:r>
              <w:rPr/>
              <w:t>4</w:t>
            </w:r>
          </w:p>
        </w:tc>
        <w:tc>
          <w:tcPr>
            <w:tcW w:type="dxa" w:w="1384"/>
          </w:tcPr>
          <w:p>
            <w:pPr>
              <w:pStyle w:val="null3"/>
            </w:pPr>
            <w:r>
              <w:rPr/>
              <w:t>详细评审</w:t>
            </w:r>
          </w:p>
        </w:tc>
        <w:tc>
          <w:tcPr>
            <w:tcW w:type="dxa" w:w="1384"/>
          </w:tcPr>
          <w:p>
            <w:pPr>
              <w:pStyle w:val="null3"/>
            </w:pPr>
            <w:r>
              <w:rPr/>
              <w:t>服务质量保障</w:t>
            </w:r>
          </w:p>
        </w:tc>
        <w:tc>
          <w:tcPr>
            <w:tcW w:type="dxa" w:w="1384"/>
          </w:tcPr>
          <w:p>
            <w:pPr>
              <w:pStyle w:val="null3"/>
            </w:pPr>
            <w:r>
              <w:rPr/>
              <w:t>一、针对本项目提出适用于本项目的服务质量保障，方案包括：①现场指引服务②绿色就医通道服务③体检流程安排④独立体检环境场所 二、评分标准： 1.内容详细全面、架构完整、层次清楚、完善可行的计15-20分； 2.内容较详细、有一定可行性计8-15分； 3.针对以上方案内容，有欠缺或只有框架，方案内容描述简单、不详细的计0-8分。</w:t>
            </w:r>
          </w:p>
        </w:tc>
        <w:tc>
          <w:tcPr>
            <w:tcW w:type="dxa" w:w="1384"/>
          </w:tcPr>
          <w:p>
            <w:pPr>
              <w:pStyle w:val="null3"/>
              <w:jc w:val="right"/>
            </w:pPr>
            <w:r>
              <w:rPr/>
              <w:t>20.0000</w:t>
            </w:r>
          </w:p>
        </w:tc>
        <w:tc>
          <w:tcPr>
            <w:tcW w:type="dxa" w:w="1384"/>
          </w:tcPr>
          <w:p>
            <w:pPr>
              <w:pStyle w:val="null3"/>
            </w:pPr>
            <w:r>
              <w:rPr/>
              <w:t>否</w:t>
            </w:r>
          </w:p>
        </w:tc>
      </w:tr>
      <w:tr>
        <w:tc>
          <w:tcPr>
            <w:tcW w:type="dxa" w:w="1384"/>
          </w:tcPr>
          <w:p>
            <w:pPr>
              <w:pStyle w:val="null3"/>
            </w:pPr>
            <w:r>
              <w:rPr/>
              <w:t>5</w:t>
            </w:r>
          </w:p>
        </w:tc>
        <w:tc>
          <w:tcPr>
            <w:tcW w:type="dxa" w:w="1384"/>
          </w:tcPr>
          <w:p>
            <w:pPr>
              <w:pStyle w:val="null3"/>
            </w:pPr>
            <w:r>
              <w:rPr/>
              <w:t>详细评审</w:t>
            </w:r>
          </w:p>
        </w:tc>
        <w:tc>
          <w:tcPr>
            <w:tcW w:type="dxa" w:w="1384"/>
          </w:tcPr>
          <w:p>
            <w:pPr>
              <w:pStyle w:val="null3"/>
            </w:pPr>
            <w:r>
              <w:rPr/>
              <w:t>业绩</w:t>
            </w:r>
          </w:p>
        </w:tc>
        <w:tc>
          <w:tcPr>
            <w:tcW w:type="dxa" w:w="1384"/>
          </w:tcPr>
          <w:p>
            <w:pPr>
              <w:pStyle w:val="null3"/>
            </w:pPr>
            <w:r>
              <w:rPr/>
              <w:t>提供近三年类似项目业绩（以合同复印件为准），每提供一份业绩得2分，最高得6分。若提供虚假业绩，一经发现，按无效磋商处理。</w:t>
            </w:r>
          </w:p>
        </w:tc>
        <w:tc>
          <w:tcPr>
            <w:tcW w:type="dxa" w:w="1384"/>
          </w:tcPr>
          <w:p>
            <w:pPr>
              <w:pStyle w:val="null3"/>
              <w:jc w:val="right"/>
            </w:pPr>
            <w:r>
              <w:rPr/>
              <w:t>6.0000</w:t>
            </w:r>
          </w:p>
        </w:tc>
        <w:tc>
          <w:tcPr>
            <w:tcW w:type="dxa" w:w="1384"/>
          </w:tcPr>
          <w:p>
            <w:pPr>
              <w:pStyle w:val="null3"/>
            </w:pPr>
            <w:r>
              <w:rPr/>
              <w:t>是</w:t>
            </w:r>
          </w:p>
        </w:tc>
      </w:tr>
      <w:tr>
        <w:tc>
          <w:tcPr>
            <w:tcW w:type="dxa" w:w="1384"/>
          </w:tcPr>
          <w:p>
            <w:pPr>
              <w:pStyle w:val="null3"/>
            </w:pPr>
            <w:r>
              <w:rPr/>
              <w:t>1</w:t>
            </w:r>
          </w:p>
        </w:tc>
        <w:tc>
          <w:tcPr>
            <w:tcW w:type="dxa" w:w="1384"/>
          </w:tcPr>
          <w:p>
            <w:pPr>
              <w:pStyle w:val="null3"/>
            </w:pPr>
            <w:r>
              <w:rPr/>
              <w:t>价格分</w:t>
            </w:r>
          </w:p>
        </w:tc>
        <w:tc>
          <w:tcPr>
            <w:tcW w:type="dxa" w:w="1384"/>
          </w:tcPr>
          <w:p>
            <w:pPr>
              <w:pStyle w:val="null3"/>
            </w:pPr>
            <w:r>
              <w:rPr/>
              <w:t>价格分</w:t>
            </w:r>
          </w:p>
        </w:tc>
        <w:tc>
          <w:tcPr>
            <w:tcW w:type="dxa" w:w="1384"/>
          </w:tcPr>
          <w:p>
            <w:pPr>
              <w:pStyle w:val="null3"/>
            </w:pPr>
            <w:r>
              <w:rPr/>
              <w:t>（1）经初审合格的磋商响应文件，其磋商报价为有效磋商报价。 （2）满足磋商文件实质性要求且最终报价最低的供应商的价格为磋商基准价，其价格分为满分20分。 （3）磋商报价得分=（磋商基准价/最终磋商报价）×20。</w:t>
            </w:r>
          </w:p>
        </w:tc>
        <w:tc>
          <w:tcPr>
            <w:tcW w:type="dxa" w:w="1384"/>
          </w:tcPr>
          <w:p>
            <w:pPr>
              <w:pStyle w:val="null3"/>
              <w:jc w:val="right"/>
            </w:pPr>
            <w:r>
              <w:rPr/>
              <w:t>20.0000</w:t>
            </w:r>
          </w:p>
        </w:tc>
        <w:tc>
          <w:tcPr>
            <w:tcW w:type="dxa" w:w="1384"/>
          </w:tcPr>
          <w:p>
            <w:pPr>
              <w:pStyle w:val="null3"/>
            </w:pPr>
            <w:r>
              <w:rPr/>
              <w:t>是</w:t>
            </w:r>
          </w:p>
        </w:tc>
      </w:tr>
    </w:tbl>
    <w:p>
      <w:pPr>
        <w:pStyle w:val="null3"/>
      </w:pPr>
      <w:r>
        <w:rPr/>
        <w:t>10、合同管理安排</w:t>
      </w:r>
    </w:p>
    <w:p>
      <w:pPr>
        <w:pStyle w:val="null3"/>
        <w:ind w:firstLine="840"/>
      </w:pPr>
      <w:r>
        <w:rPr/>
        <w:t>1）合同类型：</w:t>
      </w:r>
      <w:r>
        <w:rPr/>
        <w:t>技术合同</w:t>
      </w:r>
    </w:p>
    <w:p>
      <w:pPr>
        <w:pStyle w:val="null3"/>
        <w:ind w:firstLine="840"/>
      </w:pPr>
      <w:r>
        <w:rPr/>
        <w:t xml:space="preserve">2）合同履行期限： </w:t>
      </w:r>
      <w:r>
        <w:rPr/>
        <w:t>7天</w:t>
      </w:r>
    </w:p>
    <w:p>
      <w:pPr>
        <w:pStyle w:val="null3"/>
        <w:ind w:firstLine="840"/>
      </w:pPr>
      <w:r>
        <w:rPr/>
        <w:t>3）合同履约地点：</w:t>
      </w:r>
      <w:r>
        <w:rPr/>
        <w:t>甲方指定地点</w:t>
      </w:r>
    </w:p>
    <w:p>
      <w:pPr>
        <w:pStyle w:val="null3"/>
        <w:ind w:firstLine="840"/>
      </w:pPr>
      <w:r>
        <w:rPr/>
        <w:t>4）支付方式：</w:t>
      </w:r>
      <w:r>
        <w:rPr/>
        <w:t>一次付清</w:t>
      </w:r>
    </w:p>
    <w:p>
      <w:pPr>
        <w:pStyle w:val="null3"/>
        <w:ind w:firstLine="840"/>
      </w:pPr>
      <w:r>
        <w:rPr/>
        <w:t>5）履约保证金及缴纳形式：</w:t>
      </w:r>
    </w:p>
    <w:p>
      <w:pPr>
        <w:pStyle w:val="null3"/>
      </w:pPr>
      <w:r>
        <w:rPr/>
        <w:t>中标/成交供应商是否需要缴纳履约保证金：</w:t>
      </w:r>
      <w:r>
        <w:rPr/>
        <w:t>否</w:t>
      </w:r>
    </w:p>
    <w:p>
      <w:pPr>
        <w:pStyle w:val="null3"/>
        <w:ind w:firstLine="840"/>
      </w:pPr>
      <w:r>
        <w:rPr/>
        <w:t>6）质量保证金及缴纳形式：</w:t>
      </w:r>
    </w:p>
    <w:p>
      <w:pPr>
        <w:pStyle w:val="null3"/>
      </w:pPr>
      <w:r>
        <w:rPr/>
        <w:t>中标/成交供应商是否需要缴纳质量保证金：</w:t>
      </w:r>
      <w:r>
        <w:rPr/>
        <w:t>否</w:t>
      </w:r>
    </w:p>
    <w:p>
      <w:pPr>
        <w:pStyle w:val="null3"/>
        <w:ind w:firstLine="840"/>
      </w:pPr>
      <w:r>
        <w:rPr/>
        <w:t>7）合同支付约定：</w:t>
      </w:r>
    </w:p>
    <w:p>
      <w:pPr>
        <w:pStyle w:val="null3"/>
      </w:pPr>
      <w:r>
        <w:rPr/>
        <w:t>1、</w:t>
      </w:r>
      <w:r>
        <w:rPr/>
        <w:t xml:space="preserve"> 付款条件说明： </w:t>
      </w:r>
      <w:r>
        <w:rPr/>
        <w:t>项目验收合格后</w:t>
      </w:r>
      <w:r>
        <w:rPr/>
        <w:t xml:space="preserve"> ，达到付款条件起 </w:t>
      </w:r>
      <w:r>
        <w:rPr/>
        <w:t>15</w:t>
      </w:r>
      <w:r>
        <w:rPr/>
        <w:t xml:space="preserve"> 日内，支付合同总金额的 </w:t>
      </w:r>
      <w:r>
        <w:rPr/>
        <w:t>100.00</w:t>
      </w:r>
      <w:r>
        <w:rPr/>
        <w:t>%。</w:t>
      </w:r>
    </w:p>
    <w:p>
      <w:pPr>
        <w:pStyle w:val="null3"/>
        <w:ind w:firstLine="840"/>
      </w:pPr>
      <w:r>
        <w:rPr/>
        <w:t>8）验收交付标准和方法：</w:t>
      </w:r>
      <w:r>
        <w:rPr/>
        <w:t>体检单位以学生体检结果分析报告的形式向学校反馈学生健康体检结果。</w:t>
      </w:r>
    </w:p>
    <w:p>
      <w:pPr>
        <w:pStyle w:val="null3"/>
        <w:ind w:firstLine="840"/>
      </w:pPr>
      <w:r>
        <w:rPr/>
        <w:t>9）质量保修范围和保修期：</w:t>
      </w:r>
      <w:r>
        <w:rPr/>
        <w:t>/</w:t>
      </w:r>
    </w:p>
    <w:p>
      <w:pPr>
        <w:pStyle w:val="null3"/>
        <w:ind w:firstLine="840"/>
      </w:pPr>
      <w:r>
        <w:rPr/>
        <w:t>10）知识产权归属和处理方式：</w:t>
      </w:r>
      <w:r>
        <w:rPr/>
        <w:t>/</w:t>
      </w:r>
    </w:p>
    <w:p>
      <w:pPr>
        <w:pStyle w:val="null3"/>
        <w:ind w:firstLine="840"/>
      </w:pPr>
      <w:r>
        <w:rPr/>
        <w:t>11）成本补偿和风险分担约定：</w:t>
      </w:r>
      <w:r>
        <w:rPr/>
        <w:t>/</w:t>
      </w:r>
    </w:p>
    <w:p>
      <w:pPr>
        <w:pStyle w:val="null3"/>
        <w:ind w:firstLine="840"/>
      </w:pPr>
      <w:r>
        <w:rPr/>
        <w:t>12）违约责任与解决争议的方法：</w:t>
      </w:r>
      <w:r>
        <w:rPr/>
        <w:t>/</w:t>
      </w:r>
    </w:p>
    <w:p>
      <w:pPr>
        <w:pStyle w:val="null3"/>
        <w:ind w:firstLine="840"/>
      </w:pPr>
      <w:r>
        <w:rPr/>
        <w:t>13）合同其他条款：</w:t>
      </w:r>
      <w:r>
        <w:rPr/>
        <w:t>/</w:t>
      </w:r>
    </w:p>
    <w:p>
      <w:pPr>
        <w:pStyle w:val="null3"/>
      </w:pPr>
      <w:r>
        <w:rPr/>
        <w:t>11、履约验收方案</w:t>
      </w:r>
    </w:p>
    <w:p>
      <w:pPr>
        <w:pStyle w:val="null3"/>
        <w:ind w:firstLine="840"/>
      </w:pPr>
      <w:r>
        <w:rPr/>
        <w:t>1）验收组织方式：</w:t>
      </w:r>
      <w:r>
        <w:rPr/>
        <w:t>自行验收</w:t>
      </w:r>
    </w:p>
    <w:p>
      <w:pPr>
        <w:pStyle w:val="null3"/>
        <w:ind w:firstLine="840"/>
      </w:pPr>
      <w:r>
        <w:rPr/>
        <w:t>2）是否邀请本项目的其他供应商：</w:t>
      </w:r>
      <w:r>
        <w:rPr/>
        <w:t>否</w:t>
      </w:r>
    </w:p>
    <w:p>
      <w:pPr>
        <w:pStyle w:val="null3"/>
        <w:ind w:firstLine="840"/>
      </w:pPr>
      <w:r>
        <w:rPr/>
        <w:t>3）是否邀请专家：</w:t>
      </w:r>
      <w:r>
        <w:rPr/>
        <w:t>否</w:t>
      </w:r>
    </w:p>
    <w:p>
      <w:pPr>
        <w:pStyle w:val="null3"/>
        <w:ind w:firstLine="840"/>
      </w:pPr>
      <w:r>
        <w:rPr/>
        <w:t>4）是否邀请服务对象：</w:t>
      </w:r>
      <w:r>
        <w:rPr/>
        <w:t>否</w:t>
      </w:r>
    </w:p>
    <w:p>
      <w:pPr>
        <w:pStyle w:val="null3"/>
        <w:ind w:firstLine="840"/>
      </w:pPr>
      <w:r>
        <w:rPr/>
        <w:t>5）是否邀请第三方检测机构：</w:t>
      </w:r>
      <w:r>
        <w:rPr/>
        <w:t>否</w:t>
      </w:r>
    </w:p>
    <w:p>
      <w:pPr>
        <w:pStyle w:val="null3"/>
        <w:ind w:firstLine="840"/>
      </w:pPr>
      <w:r>
        <w:rPr/>
        <w:t>6）履约验收程序：</w:t>
      </w:r>
      <w:r>
        <w:rPr/>
        <w:t>一次性验收</w:t>
      </w:r>
    </w:p>
    <w:p>
      <w:pPr>
        <w:pStyle w:val="null3"/>
        <w:ind w:firstLine="840"/>
      </w:pPr>
      <w:r>
        <w:rPr/>
        <w:t>7）履约验收时间：</w:t>
      </w:r>
    </w:p>
    <w:p>
      <w:pPr>
        <w:pStyle w:val="null3"/>
      </w:pPr>
      <w:r>
        <w:rPr/>
        <w:t>供应商提出验收申请之日起</w:t>
      </w:r>
      <w:r>
        <w:rPr/>
        <w:t>30</w:t>
      </w:r>
      <w:r>
        <w:rPr/>
        <w:t>日内组织验收</w:t>
      </w:r>
    </w:p>
    <w:p>
      <w:pPr>
        <w:pStyle w:val="null3"/>
        <w:ind w:firstLine="840"/>
      </w:pPr>
      <w:r>
        <w:rPr/>
        <w:t>8）验收组织的其他事项：</w:t>
      </w:r>
      <w:r>
        <w:rPr/>
        <w:t>/</w:t>
      </w:r>
    </w:p>
    <w:p>
      <w:pPr>
        <w:pStyle w:val="null3"/>
        <w:ind w:firstLine="840"/>
      </w:pPr>
      <w:r>
        <w:rPr/>
        <w:t>9）技术履约验收内容：</w:t>
      </w:r>
      <w:r>
        <w:rPr/>
        <w:t>/</w:t>
      </w:r>
    </w:p>
    <w:p>
      <w:pPr>
        <w:pStyle w:val="null3"/>
        <w:ind w:firstLine="840"/>
      </w:pPr>
      <w:r>
        <w:rPr/>
        <w:t>10）商务履约验收内容：</w:t>
      </w:r>
      <w:r>
        <w:rPr/>
        <w:t>/</w:t>
      </w:r>
    </w:p>
    <w:p>
      <w:pPr>
        <w:pStyle w:val="null3"/>
        <w:ind w:firstLine="840"/>
      </w:pPr>
      <w:r>
        <w:rPr/>
        <w:t>11）履约验收标准：</w:t>
      </w:r>
      <w:r>
        <w:rPr/>
        <w:t>/</w:t>
      </w:r>
    </w:p>
    <w:p>
      <w:pPr>
        <w:pStyle w:val="null3"/>
        <w:ind w:firstLine="840"/>
      </w:pPr>
      <w:r>
        <w:rPr/>
        <w:t>12）履约验收其他事项：</w:t>
      </w:r>
      <w:r>
        <w:rPr/>
        <w:t>/</w:t>
      </w:r>
    </w:p>
    <w:p>
      <w:pPr>
        <w:pStyle w:val="null3"/>
        <w:outlineLvl w:val="2"/>
      </w:pPr>
      <w:r>
        <w:rPr>
          <w:sz w:val="28"/>
          <w:b/>
        </w:rPr>
        <w:t>五、风险控制措施和替代方案</w:t>
      </w:r>
    </w:p>
    <w:p>
      <w:pPr>
        <w:pStyle w:val="null3"/>
        <w:ind w:firstLine="840"/>
      </w:pPr>
      <w:r>
        <w:rPr/>
        <w:t>该采购项目按照《政府采购需求管理办法》第二十五条规定，本项目是否需要组织风险判断、提出处置措施和替代方案：</w:t>
      </w:r>
      <w:r>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