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</w:rPr>
        <w:t>商务偏离表</w:t>
      </w:r>
    </w:p>
    <w:p>
      <w:pPr>
        <w:pStyle w:val="5"/>
        <w:pBdr>
          <w:bottom w:val="none" w:color="auto" w:sz="0" w:space="0"/>
        </w:pBdr>
        <w:tabs>
          <w:tab w:val="left" w:pos="420"/>
        </w:tabs>
        <w:snapToGrid/>
        <w:spacing w:line="400" w:lineRule="exact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ind w:firstLine="600" w:firstLineChars="25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                           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TWZB2024-219</w:t>
      </w:r>
    </w:p>
    <w:tbl>
      <w:tblPr>
        <w:tblStyle w:val="6"/>
        <w:tblpPr w:leftFromText="180" w:rightFromText="180" w:vertAnchor="text" w:horzAnchor="margin" w:tblpXSpec="right" w:tblpY="81"/>
        <w:tblW w:w="86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580"/>
        <w:gridCol w:w="2700"/>
        <w:gridCol w:w="25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5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采购商务要求</w:t>
            </w:r>
          </w:p>
        </w:tc>
        <w:tc>
          <w:tcPr>
            <w:tcW w:w="27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单一来源响应文件商务响应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</w:tbl>
    <w:p>
      <w:pPr>
        <w:spacing w:line="400" w:lineRule="exact"/>
        <w:ind w:left="630" w:hanging="630" w:hangingChars="300"/>
        <w:rPr>
          <w:rFonts w:hint="eastAsia" w:ascii="宋体" w:hAnsi="宋体" w:eastAsia="宋体" w:cs="宋体"/>
          <w:szCs w:val="21"/>
        </w:rPr>
      </w:pPr>
    </w:p>
    <w:p>
      <w:pPr>
        <w:spacing w:line="400" w:lineRule="exact"/>
        <w:ind w:left="286" w:leftChars="136" w:firstLine="29" w:firstLineChars="14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注：1.本表应严格按照“商务要求”中所包含的商务条款填写；“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采购商务要求”须按单一来源采购文件的商务条款填写；“单一来源响应文件商务响应”为供应商所响应的商务条款；“偏离及其影响”填写：优于、相同。</w:t>
      </w:r>
    </w:p>
    <w:p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供应商必须据实填写，不得虚假响应，否则将取消其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或成交资格，并按有关规定进处罚。</w:t>
      </w:r>
    </w:p>
    <w:p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Cs w:val="21"/>
          <w:lang w:eastAsia="zh-CN"/>
        </w:rPr>
        <w:t>本表不允许负偏离，任何负偏离视为重大负偏离。</w:t>
      </w:r>
    </w:p>
    <w:p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完全完全响应的不用在本表列出，提供盖章空表即可。</w:t>
      </w:r>
    </w:p>
    <w:p>
      <w:pPr>
        <w:adjustRightInd w:val="0"/>
        <w:spacing w:line="400" w:lineRule="exact"/>
        <w:ind w:firstLine="560" w:firstLineChars="200"/>
        <w:jc w:val="left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名称：   （盖章）</w:t>
      </w:r>
    </w:p>
    <w:p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>
      <w:pPr>
        <w:pStyle w:val="4"/>
        <w:rPr>
          <w:rFonts w:hint="eastAsia" w:ascii="宋体" w:hAnsi="宋体" w:eastAsia="宋体" w:cs="宋体"/>
        </w:rPr>
      </w:pPr>
    </w:p>
    <w:p>
      <w:pPr>
        <w:spacing w:line="400" w:lineRule="exact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日期: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2741E4"/>
    <w:multiLevelType w:val="singleLevel"/>
    <w:tmpl w:val="352741E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1NTZhZGIwMTJkMWEzYTVlOGNmMjRlYmNiYWNhOWMifQ=="/>
  </w:docVars>
  <w:rsids>
    <w:rsidRoot w:val="00000000"/>
    <w:rsid w:val="2918343C"/>
    <w:rsid w:val="43E052E6"/>
    <w:rsid w:val="6C7A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5">
    <w:name w:val="header"/>
    <w:basedOn w:val="1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275</Characters>
  <Lines>0</Lines>
  <Paragraphs>0</Paragraphs>
  <TotalTime>0</TotalTime>
  <ScaleCrop>false</ScaleCrop>
  <LinksUpToDate>false</LinksUpToDate>
  <CharactersWithSpaces>305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2024-11-08T09:17:00Z</dcterms:created>
  <dc:creator>86177</dc:creator>
  <cp:lastModifiedBy>璐包子～</cp:lastModifiedBy>
  <dcterms:modified xsi:type="dcterms:W3CDTF">2024-12-18T02:19:17Z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B41F1749052943AF90D484004295B8D8_12</vt:lpwstr>
  </property>
</Properties>
</file>