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铜川市2024年病媒生物防制消杀</w:t>
      </w:r>
    </w:p>
    <w:p>
      <w:pPr>
        <w:pStyle w:val="null3"/>
        <w:jc w:val="center"/>
        <w:outlineLvl w:val="2"/>
      </w:pPr>
      <w:r>
        <w:rPr>
          <w:b/>
          <w:sz w:val="28"/>
        </w:rPr>
        <w:t>采购项目编号：</w:t>
      </w:r>
      <w:r>
        <w:rPr>
          <w:b/>
          <w:sz w:val="28"/>
        </w:rPr>
        <w:t>HGMHCG-2024-08</w:t>
      </w:r>
      <w:r>
        <w:br/>
      </w:r>
      <w:r>
        <w:br/>
      </w:r>
      <w:r>
        <w:br/>
      </w:r>
    </w:p>
    <w:p>
      <w:pPr>
        <w:pStyle w:val="null3"/>
        <w:jc w:val="center"/>
        <w:outlineLvl w:val="2"/>
      </w:pPr>
      <w:r>
        <w:rPr>
          <w:b/>
          <w:sz w:val="28"/>
        </w:rPr>
        <w:t>中共铜川市委精神文明建设指导委员会办公室</w:t>
      </w:r>
    </w:p>
    <w:p>
      <w:pPr>
        <w:pStyle w:val="null3"/>
        <w:jc w:val="center"/>
        <w:outlineLvl w:val="2"/>
      </w:pPr>
      <w:r>
        <w:rPr>
          <w:b/>
          <w:sz w:val="28"/>
        </w:rPr>
        <w:t>陕西恒广茂禾项目管理有限公司</w:t>
      </w:r>
      <w:r>
        <w:rPr>
          <w:b/>
          <w:sz w:val="28"/>
        </w:rPr>
        <w:t>共同编制</w:t>
      </w:r>
    </w:p>
    <w:p>
      <w:pPr>
        <w:pStyle w:val="null3"/>
        <w:jc w:val="center"/>
        <w:outlineLvl w:val="2"/>
      </w:pPr>
      <w:r>
        <w:rPr>
          <w:b/>
          <w:sz w:val="28"/>
        </w:rPr>
        <w:t>2024年02月27日</w:t>
      </w:r>
    </w:p>
    <w:p>
      <w:pPr>
        <w:pStyle w:val="null3"/>
      </w:pPr>
      <w:r>
        <w:rPr/>
        <w:t xml:space="preserve"> </w:t>
      </w:r>
    </w:p>
    <w:p>
      <w:pPr>
        <w:pStyle w:val="null3"/>
        <w:jc w:val="center"/>
        <w:outlineLvl w:val="1"/>
      </w:pPr>
      <w:r>
        <w:rPr>
          <w:b/>
          <w:sz w:val="36"/>
        </w:rPr>
        <w:t>第一章 投标邀请</w:t>
      </w:r>
    </w:p>
    <w:p>
      <w:pPr>
        <w:pStyle w:val="null3"/>
        <w:ind w:firstLine="480"/>
      </w:pPr>
      <w:r>
        <w:rPr/>
        <w:t>陕西恒广茂禾项目管理有限公司</w:t>
      </w:r>
      <w:r>
        <w:rPr/>
        <w:t>（以下简称“代理机构”）受</w:t>
      </w:r>
      <w:r>
        <w:rPr/>
        <w:t>中共铜川市委精神文明建设指导委员会办公室</w:t>
      </w:r>
      <w:r>
        <w:rPr/>
        <w:t>委托，拟对</w:t>
      </w:r>
      <w:r>
        <w:rPr/>
        <w:t>铜川市2024年病媒生物防制消杀</w:t>
      </w:r>
      <w:r>
        <w:rPr/>
        <w:t>进行国内公开招标，兹邀请符合本次招标要求的供应商参加投标。</w:t>
      </w:r>
    </w:p>
    <w:p>
      <w:pPr>
        <w:pStyle w:val="null3"/>
        <w:outlineLvl w:val="2"/>
      </w:pPr>
      <w:r>
        <w:rPr>
          <w:b/>
          <w:sz w:val="28"/>
        </w:rPr>
        <w:t>一、采购项目编号：</w:t>
      </w:r>
      <w:r>
        <w:rPr>
          <w:b/>
          <w:sz w:val="28"/>
        </w:rPr>
        <w:t>HGMHCG-2024-08</w:t>
      </w:r>
    </w:p>
    <w:p>
      <w:pPr>
        <w:pStyle w:val="null3"/>
        <w:outlineLvl w:val="2"/>
      </w:pPr>
      <w:r>
        <w:rPr>
          <w:b/>
          <w:sz w:val="28"/>
        </w:rPr>
        <w:t>二、采购项目名称：</w:t>
      </w:r>
      <w:r>
        <w:rPr>
          <w:b/>
          <w:sz w:val="28"/>
        </w:rPr>
        <w:t>铜川市2024年病媒生物防制消杀</w:t>
      </w:r>
    </w:p>
    <w:p>
      <w:pPr>
        <w:pStyle w:val="null3"/>
        <w:outlineLvl w:val="2"/>
      </w:pPr>
      <w:r>
        <w:rPr>
          <w:b/>
          <w:sz w:val="28"/>
        </w:rPr>
        <w:t>三、招标项目简介</w:t>
      </w:r>
    </w:p>
    <w:p>
      <w:pPr>
        <w:pStyle w:val="null3"/>
        <w:ind w:firstLine="480"/>
      </w:pPr>
      <w:r>
        <w:rPr/>
        <w:t>为了巩固提升我市“全国文明城市”“国家卫生城市”创建成果，对我市王益区、印台区、耀州区、新区的重点区域和重点点位的鼠、蝇、蚊、蟑等进行孳生地调查和消杀防制，坚持群防群制一体消杀，防制密度达到国家B级标准，给全市人民营造安全健康良好的生活环境。</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采购包1（一标段）：属于专门面向中小企业采购。</w:t>
      </w:r>
    </w:p>
    <w:p>
      <w:pPr>
        <w:pStyle w:val="null3"/>
      </w:pPr>
      <w:r>
        <w:rPr/>
        <w:t>采购包2（二标段）：属于专门面向中小企业采购。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2、财务状况报告：提供具有财务审计资质单位出具的2022或2023年度财务审计报告或投标前六个月内其基本账户银行出具的资信证明。</w:t>
      </w:r>
    </w:p>
    <w:p>
      <w:pPr>
        <w:pStyle w:val="null3"/>
      </w:pPr>
      <w:r>
        <w:rPr/>
        <w:t>3、税收交纳证明：提供截止至投标时间前六个月内任意二个月的缴费凭据（依法免税的供应商应提供相关文件证明）。</w:t>
      </w:r>
    </w:p>
    <w:p>
      <w:pPr>
        <w:pStyle w:val="null3"/>
      </w:pPr>
      <w:r>
        <w:rPr/>
        <w:t>4、社会保障资金交纳证明：提供截止至投标时间前六个月内任意二个月的社保缴费凭据或社保机构开具的社会保险参保缴费情况证明（依法不需要交纳社会保障资金的供应商应提供相关证明）。</w:t>
      </w:r>
    </w:p>
    <w:p>
      <w:pPr>
        <w:pStyle w:val="null3"/>
      </w:pPr>
      <w:r>
        <w:rPr/>
        <w:t>5、提供具有履行本合同所必需的设备和专业技术能力的说明及承诺：提供具有履行本合同所必需的设备和专业技术能力的说明及承诺。</w:t>
      </w:r>
    </w:p>
    <w:p>
      <w:pPr>
        <w:pStyle w:val="null3"/>
      </w:pPr>
      <w:r>
        <w:rPr/>
        <w:t>6、提供参加政府采购活动前三年内在经营活动中没有重大违法记录的书面声明：提供参加政府采购活动前三年内在经营活动中没有重大违法记录的书面声明。</w:t>
      </w:r>
    </w:p>
    <w:p>
      <w:pPr>
        <w:pStyle w:val="null3"/>
      </w:pPr>
      <w:r>
        <w:rPr/>
        <w:t>7、法定代表人参与投标时需提供法定代表人身份证原件及复印件；被授权人参与投标时需提供法定代表人授权委托书：法定代表人参与投标时需提供法定代表人身份证原件及复印件；被授权人参与投标时需提供法定代表人授权委托书。</w:t>
      </w:r>
    </w:p>
    <w:p>
      <w:pPr>
        <w:pStyle w:val="null3"/>
      </w:pPr>
      <w:r>
        <w:rPr/>
        <w:t>8、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t>采购包2：</w:t>
      </w:r>
    </w:p>
    <w:p>
      <w:pPr>
        <w:pStyle w:val="null3"/>
      </w:pPr>
      <w:r>
        <w:rPr/>
        <w:t>1、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2、财务状况报告：提供具有财务审计资质单位出具的2022或2023年度财务审计报告或投标前六个月内其基本账户银行出具的资信证明；</w:t>
      </w:r>
    </w:p>
    <w:p>
      <w:pPr>
        <w:pStyle w:val="null3"/>
      </w:pPr>
      <w:r>
        <w:rPr/>
        <w:t>3、税收交纳证明：提供截止至投标时间前六个月内任意二个月的缴费凭据；（依法免税的供应商应提供相关文件证明）；</w:t>
      </w:r>
    </w:p>
    <w:p>
      <w:pPr>
        <w:pStyle w:val="null3"/>
      </w:pPr>
      <w:r>
        <w:rPr/>
        <w:t>4、社会保障资金交纳证明：提供截止至投标时间前六个月内任意二个月的社保缴费凭据或社保机构开具的社会保险参保缴费情况证明；（依法不需要交纳社会保障资金的供应商应提供相关证明）；</w:t>
      </w:r>
    </w:p>
    <w:p>
      <w:pPr>
        <w:pStyle w:val="null3"/>
      </w:pPr>
      <w:r>
        <w:rPr/>
        <w:t>5、提供具有履行本合同所必需的设备和专业技术能力的说明及承诺；：提供具有履行本合同所必需的设备和专业技术能力的说明及承诺；</w:t>
      </w:r>
    </w:p>
    <w:p>
      <w:pPr>
        <w:pStyle w:val="null3"/>
      </w:pPr>
      <w:r>
        <w:rPr/>
        <w:t>6、提供参加政府采购活动前三年内在经营活动中没有重大违法记录的书面声明；：提供参加政府采购活动前三年内在经营活动中没有重大违法记录的书面声明；</w:t>
      </w:r>
    </w:p>
    <w:p>
      <w:pPr>
        <w:pStyle w:val="null3"/>
      </w:pPr>
      <w:r>
        <w:rPr/>
        <w:t>7、法定代表人参与投标时需提供法定代表人身份证原件及复印件；被授权人参与投标时需提供法定代表人授权委托书；：法定代表人参与投标时需提供法定代表人身份证原件及复印件；被授权人参与投标时需提供法定代表人授权委托书；</w:t>
      </w:r>
    </w:p>
    <w:p>
      <w:pPr>
        <w:pStyle w:val="null3"/>
      </w:pPr>
      <w:r>
        <w:rPr/>
        <w:t>8、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中共铜川市委精神文明建设指导委员会办公室</w:t>
      </w:r>
    </w:p>
    <w:p>
      <w:pPr>
        <w:pStyle w:val="null3"/>
      </w:pPr>
      <w:r>
        <w:rPr/>
        <w:t xml:space="preserve"> 地址： </w:t>
      </w:r>
      <w:r>
        <w:rPr/>
        <w:t>铜川市新区斯明街5号</w:t>
      </w:r>
    </w:p>
    <w:p>
      <w:pPr>
        <w:pStyle w:val="null3"/>
      </w:pPr>
      <w:r>
        <w:rPr/>
        <w:t xml:space="preserve"> 邮编： </w:t>
      </w:r>
      <w:r>
        <w:rPr/>
        <w:t>727031</w:t>
      </w:r>
    </w:p>
    <w:p>
      <w:pPr>
        <w:pStyle w:val="null3"/>
      </w:pPr>
      <w:r>
        <w:rPr/>
        <w:t xml:space="preserve"> 联系人： </w:t>
      </w:r>
      <w:r>
        <w:rPr/>
        <w:t>王建华</w:t>
      </w:r>
    </w:p>
    <w:p>
      <w:pPr>
        <w:pStyle w:val="null3"/>
      </w:pPr>
      <w:r>
        <w:rPr/>
        <w:t xml:space="preserve"> 联系电话： </w:t>
      </w:r>
      <w:r>
        <w:rPr/>
        <w:t>18609190910</w:t>
      </w:r>
    </w:p>
    <w:p>
      <w:pPr>
        <w:pStyle w:val="null3"/>
        <w:outlineLvl w:val="2"/>
      </w:pPr>
      <w:r>
        <w:rPr>
          <w:b/>
          <w:sz w:val="28"/>
        </w:rPr>
        <w:t>代理机构：</w:t>
      </w:r>
      <w:r>
        <w:rPr>
          <w:b/>
          <w:sz w:val="28"/>
        </w:rPr>
        <w:t>陕西恒广茂禾项目管理有限公司</w:t>
      </w:r>
    </w:p>
    <w:p>
      <w:pPr>
        <w:pStyle w:val="null3"/>
      </w:pPr>
      <w:r>
        <w:rPr/>
        <w:t xml:space="preserve"> 地址： </w:t>
      </w:r>
      <w:r>
        <w:rPr/>
        <w:t>陕西省铜川市市辖区陕西省铜川市新区长虹南路山水雅庭3幢1单元10901室</w:t>
      </w:r>
    </w:p>
    <w:p>
      <w:pPr>
        <w:pStyle w:val="null3"/>
      </w:pPr>
      <w:r>
        <w:rPr/>
        <w:t xml:space="preserve"> 邮编： </w:t>
      </w:r>
      <w:r>
        <w:rPr/>
        <w:t>727031</w:t>
      </w:r>
    </w:p>
    <w:p>
      <w:pPr>
        <w:pStyle w:val="null3"/>
      </w:pPr>
      <w:r>
        <w:rPr/>
        <w:t xml:space="preserve"> 联系人： </w:t>
      </w:r>
      <w:r>
        <w:rPr/>
        <w:t>杨倩</w:t>
      </w:r>
    </w:p>
    <w:p>
      <w:pPr>
        <w:pStyle w:val="null3"/>
      </w:pPr>
      <w:r>
        <w:rPr/>
        <w:t xml:space="preserve"> 联系电话： </w:t>
      </w:r>
      <w:r>
        <w:rPr/>
        <w:t>15353839221</w:t>
      </w:r>
    </w:p>
    <w:p>
      <w:pPr>
        <w:pStyle w:val="null3"/>
        <w:outlineLvl w:val="2"/>
      </w:pPr>
      <w:r>
        <w:rPr>
          <w:b/>
          <w:sz w:val="28"/>
        </w:rPr>
        <w:t>采购监督机构：</w:t>
      </w:r>
      <w:r>
        <w:rPr>
          <w:b/>
          <w:sz w:val="28"/>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采购包1：1,880,424.00元</w:t>
            </w:r>
          </w:p>
          <w:p>
            <w:pPr>
              <w:pStyle w:val="null3"/>
            </w:pPr>
            <w:r>
              <w:rPr/>
              <w:t>采购包2：599,375.52元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中共铜川市委精神文明建设指导委员会办公室</w:t>
      </w:r>
      <w:r>
        <w:rPr/>
        <w:t>和</w:t>
      </w:r>
      <w:r>
        <w:rPr/>
        <w:t>陕西恒广茂禾项目管理有限公司</w:t>
      </w:r>
      <w:r>
        <w:rPr/>
        <w:t>享有。对招标文件中供应商参加本次政府采购活动应当具备的条件，招标项目技术、服务、商务及其他要求，评标细则及标准由</w:t>
      </w:r>
      <w:r>
        <w:rPr/>
        <w:t>中共铜川市委精神文明建设指导委员会办公室</w:t>
      </w:r>
      <w:r>
        <w:rPr/>
        <w:t>负责解释。除上述招标文件内容，其他内容由</w:t>
      </w:r>
      <w:r>
        <w:rPr/>
        <w:t>陕西恒广茂禾项目管理有限公司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中共铜川市委精神文明建设指导委员会办公室</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陕西恒广茂禾项目管理有限公司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b/>
          <w:sz w:val="24"/>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b/>
          <w:sz w:val="24"/>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满足采购人要求，确保本项目验收通过。</w:t>
      </w:r>
    </w:p>
    <w:p>
      <w:pPr>
        <w:pStyle w:val="null3"/>
      </w:pPr>
      <w:r>
        <w:rPr/>
        <w:t>采购包2：</w:t>
      </w:r>
    </w:p>
    <w:p>
      <w:pPr>
        <w:pStyle w:val="null3"/>
      </w:pPr>
      <w:r>
        <w:rPr/>
        <w:t>满足采购人要求，确保本项目验收通过。</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b/>
          <w:sz w:val="24"/>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b/>
          <w:sz w:val="24"/>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陕西恒广茂禾项目管理有限公司</w:t>
      </w:r>
      <w:r>
        <w:rPr/>
        <w:t xml:space="preserve"> 负责答复；供应商对除采购需求外的采购文件的询问、质疑由</w:t>
      </w:r>
      <w:r>
        <w:rPr/>
        <w:t>陕西恒广茂禾项目管理有限公司</w:t>
      </w:r>
      <w:r>
        <w:rPr/>
        <w:t xml:space="preserve"> 负责答复；供应商对采购过程、采购结果的询问、质疑由 </w:t>
      </w:r>
      <w:r>
        <w:rPr/>
        <w:t>陕西恒广茂禾项目管理有限公司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联系人：杨倩</w:t>
      </w:r>
    </w:p>
    <w:p>
      <w:pPr>
        <w:pStyle w:val="null3"/>
      </w:pPr>
      <w:r>
        <w:rPr/>
        <w:t>联系电话：15353839221</w:t>
      </w:r>
    </w:p>
    <w:p>
      <w:pPr>
        <w:pStyle w:val="null3"/>
      </w:pPr>
      <w:r>
        <w:rPr/>
        <w:t>地址：陕西省铜川市新区长虹南路山水雅庭 3 幢 1 单元 10901 室</w:t>
      </w:r>
    </w:p>
    <w:p>
      <w:pPr>
        <w:pStyle w:val="null3"/>
      </w:pPr>
      <w:r>
        <w:rPr/>
        <w:t>邮编：727031</w:t>
      </w:r>
    </w:p>
    <w:p>
      <w:pPr>
        <w:pStyle w:val="null3"/>
      </w:pPr>
      <w:r>
        <w:rPr/>
        <w:t>答复主体：采购单位</w:t>
      </w:r>
    </w:p>
    <w:p>
      <w:pPr>
        <w:pStyle w:val="null3"/>
      </w:pPr>
      <w:r>
        <w:rPr/>
        <w:t>联系人：王建华</w:t>
      </w:r>
    </w:p>
    <w:p>
      <w:pPr>
        <w:pStyle w:val="null3"/>
      </w:pPr>
      <w:r>
        <w:rPr/>
        <w:t>联系电话：18609190910</w:t>
      </w:r>
    </w:p>
    <w:p>
      <w:pPr>
        <w:pStyle w:val="null3"/>
      </w:pPr>
      <w:r>
        <w:rPr/>
        <w:t>地址：铜川市新区斯明街5号</w:t>
      </w:r>
    </w:p>
    <w:p>
      <w:pPr>
        <w:pStyle w:val="null3"/>
      </w:pPr>
      <w:r>
        <w:rPr/>
        <w:t>邮编：727031</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为了巩固提升我市“全国文明城市”“国家卫生城市”创建成果，对我市王益区、印台区、耀州区、新区的重点区域和重点点位的鼠、蝇、蚊、蟑等进行孳生地调查和消杀防制，坚持群防群制一体消杀，防制密度达到国家B级标准，给全市人民营造安全健康良好的生活环境；需满足的要求:病媒生物防制密度达到国家B级标准，给全市人民营造安全健康良好的生活环境。</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1,880,424.00</w:t>
      </w:r>
    </w:p>
    <w:p>
      <w:pPr>
        <w:pStyle w:val="null3"/>
      </w:pPr>
      <w:r>
        <w:rPr/>
        <w:t>采购包最高限价（元）: 1,880,424.00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病媒生物防制消杀</w:t>
            </w:r>
          </w:p>
        </w:tc>
        <w:tc>
          <w:tcPr>
            <w:tcW w:type="dxa" w:w="831"/>
          </w:tcPr>
          <w:p>
            <w:pPr>
              <w:pStyle w:val="null3"/>
              <w:jc w:val="right"/>
            </w:pPr>
            <w:r>
              <w:rPr/>
              <w:t>1.00</w:t>
            </w:r>
          </w:p>
        </w:tc>
        <w:tc>
          <w:tcPr>
            <w:tcW w:type="dxa" w:w="831"/>
          </w:tcPr>
          <w:p>
            <w:pPr>
              <w:pStyle w:val="null3"/>
              <w:jc w:val="right"/>
            </w:pPr>
            <w:r>
              <w:rPr/>
              <w:t>1,880,424.00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599,375.52</w:t>
      </w:r>
    </w:p>
    <w:p>
      <w:pPr>
        <w:pStyle w:val="null3"/>
      </w:pPr>
      <w:r>
        <w:rPr/>
        <w:t>采购包最高限价（元）: 599,375.52</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病媒生物防制消杀</w:t>
            </w:r>
          </w:p>
        </w:tc>
        <w:tc>
          <w:tcPr>
            <w:tcW w:type="dxa" w:w="831"/>
          </w:tcPr>
          <w:p>
            <w:pPr>
              <w:pStyle w:val="null3"/>
              <w:jc w:val="right"/>
            </w:pPr>
            <w:r>
              <w:rPr/>
              <w:t>1.00</w:t>
            </w:r>
          </w:p>
        </w:tc>
        <w:tc>
          <w:tcPr>
            <w:tcW w:type="dxa" w:w="831"/>
          </w:tcPr>
          <w:p>
            <w:pPr>
              <w:pStyle w:val="null3"/>
              <w:jc w:val="right"/>
            </w:pPr>
            <w:r>
              <w:rPr/>
              <w:t>599,375.52</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b/>
          <w:sz w:val="24"/>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标的名称：病媒生物防制消杀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560"/>
              <w:jc w:val="both"/>
            </w:pPr>
            <w:r>
              <w:rPr>
                <w:rFonts w:ascii="仿宋" w:hAnsi="仿宋" w:cs="仿宋" w:eastAsia="仿宋"/>
                <w:sz w:val="28"/>
                <w:shd w:fill="FFFFFF" w:val="clear"/>
              </w:rPr>
              <w:t>病媒生物防制是全国文明城市重要测评内容，是国家卫生城市复审的前置条件，是切断传染性疾病传播媒介的强有力措施，是老百姓饮食生活起居的安全保障，建立病媒生物防制长效机制是持续降低病媒生物密度的经济有效的管理策略。为了切实做好重点点位病媒生物防制工作，巩固扩大全市取得的病媒生物防制成果，全市开展病媒生物防制消杀。</w:t>
            </w:r>
          </w:p>
          <w:p>
            <w:pPr>
              <w:pStyle w:val="null3"/>
              <w:spacing w:after="120"/>
              <w:ind w:firstLine="560"/>
              <w:jc w:val="both"/>
            </w:pPr>
            <w:r>
              <w:rPr>
                <w:rFonts w:ascii="仿宋" w:hAnsi="仿宋" w:cs="仿宋" w:eastAsia="仿宋"/>
                <w:sz w:val="28"/>
              </w:rPr>
              <w:t>一、</w:t>
            </w:r>
            <w:r>
              <w:rPr>
                <w:rFonts w:ascii="仿宋" w:hAnsi="仿宋" w:cs="仿宋" w:eastAsia="仿宋"/>
                <w:sz w:val="28"/>
              </w:rPr>
              <w:t>防制项目：</w:t>
            </w:r>
          </w:p>
          <w:p>
            <w:pPr>
              <w:pStyle w:val="null3"/>
              <w:spacing w:after="120"/>
              <w:ind w:firstLine="1120"/>
              <w:jc w:val="both"/>
            </w:pPr>
            <w:r>
              <w:rPr>
                <w:rFonts w:ascii="仿宋" w:hAnsi="仿宋" w:cs="仿宋" w:eastAsia="仿宋"/>
                <w:sz w:val="28"/>
              </w:rPr>
              <w:t>鼠、蚊、蝇、蟑</w:t>
            </w:r>
          </w:p>
          <w:p>
            <w:pPr>
              <w:pStyle w:val="null3"/>
              <w:ind w:firstLine="560"/>
              <w:jc w:val="both"/>
            </w:pPr>
            <w:r>
              <w:rPr>
                <w:rFonts w:ascii="仿宋" w:hAnsi="仿宋" w:cs="仿宋" w:eastAsia="仿宋"/>
                <w:sz w:val="28"/>
              </w:rPr>
              <w:t>二、防制区域</w:t>
            </w:r>
          </w:p>
          <w:p>
            <w:pPr>
              <w:pStyle w:val="null3"/>
              <w:spacing w:after="120"/>
              <w:ind w:firstLine="560"/>
              <w:jc w:val="both"/>
            </w:pPr>
            <w:r>
              <w:rPr>
                <w:rFonts w:ascii="仿宋" w:hAnsi="仿宋" w:cs="仿宋" w:eastAsia="仿宋"/>
                <w:sz w:val="28"/>
                <w:shd w:fill="FFFFFF" w:val="clear"/>
              </w:rPr>
              <w:t>一标段：四区消杀各区分别为：王益区</w:t>
            </w:r>
            <w:r>
              <w:rPr>
                <w:rFonts w:ascii="仿宋" w:hAnsi="仿宋" w:cs="仿宋" w:eastAsia="仿宋"/>
                <w:sz w:val="28"/>
                <w:shd w:fill="FFFFFF" w:val="clear"/>
              </w:rPr>
              <w:t>65个、印台区46个、耀州区17个、新区21个（其中赵坡村与申河村合并为赵家坡村，丁沟村与儒柳村合并为齐家坡村）。</w:t>
            </w:r>
          </w:p>
          <w:p>
            <w:pPr>
              <w:pStyle w:val="null3"/>
              <w:ind w:firstLine="560"/>
              <w:jc w:val="both"/>
            </w:pPr>
            <w:r>
              <w:rPr>
                <w:rFonts w:ascii="仿宋" w:hAnsi="仿宋" w:cs="仿宋" w:eastAsia="仿宋"/>
                <w:sz w:val="28"/>
              </w:rPr>
              <w:t>三、防制目标</w:t>
            </w:r>
          </w:p>
          <w:p>
            <w:pPr>
              <w:pStyle w:val="null3"/>
              <w:ind w:firstLine="560"/>
              <w:jc w:val="both"/>
            </w:pPr>
            <w:r>
              <w:rPr>
                <w:rFonts w:ascii="仿宋" w:hAnsi="仿宋" w:cs="仿宋" w:eastAsia="仿宋"/>
                <w:sz w:val="28"/>
                <w:shd w:fill="FFFFFF" w:val="clear"/>
              </w:rPr>
              <w:t>坚持群防群制一体消杀，建立病媒生物综合管理长效管理机制，高标准实施病媒生物防制工作，使病媒生物密度水平达到国家</w:t>
            </w:r>
            <w:r>
              <w:rPr>
                <w:rFonts w:ascii="仿宋" w:hAnsi="仿宋" w:cs="仿宋" w:eastAsia="仿宋"/>
                <w:sz w:val="28"/>
                <w:shd w:fill="FFFFFF" w:val="clear"/>
              </w:rPr>
              <w:t>B级标准以上，不断改善群众用餐、购物、住宿环境，切实维护人民群众健康权益，给广大人民群众营造健康的生活环境，确保中央文明办、全国爱卫办随机暗访、明查顺利通过复审，为经济社会协调发展提供有力保障。</w:t>
            </w:r>
          </w:p>
          <w:p>
            <w:pPr>
              <w:pStyle w:val="null3"/>
              <w:ind w:firstLine="560"/>
              <w:jc w:val="both"/>
            </w:pPr>
            <w:r>
              <w:rPr>
                <w:rFonts w:ascii="仿宋" w:hAnsi="仿宋" w:cs="仿宋" w:eastAsia="仿宋"/>
                <w:sz w:val="28"/>
              </w:rPr>
              <w:t>四、防制原则</w:t>
            </w:r>
          </w:p>
          <w:p>
            <w:pPr>
              <w:pStyle w:val="null3"/>
              <w:ind w:firstLine="560"/>
              <w:jc w:val="both"/>
            </w:pPr>
            <w:r>
              <w:rPr>
                <w:rFonts w:ascii="仿宋" w:hAnsi="仿宋" w:cs="仿宋" w:eastAsia="仿宋"/>
                <w:sz w:val="28"/>
                <w:shd w:fill="FFFFFF" w:val="clear"/>
              </w:rPr>
              <w:t>坚持以环境治理、清除病媒生物孳生与栖息环境为主，以物理防制、化学防制、生物防制为辅，通过健康教育和健康促进、依法防制防制等综合防制原则，因地制宜、科学规范地开展病媒生物防制。</w:t>
            </w:r>
          </w:p>
          <w:p>
            <w:pPr>
              <w:pStyle w:val="null3"/>
              <w:ind w:firstLine="560"/>
              <w:jc w:val="both"/>
            </w:pPr>
            <w:r>
              <w:rPr>
                <w:rFonts w:ascii="仿宋" w:hAnsi="仿宋" w:cs="仿宋" w:eastAsia="仿宋"/>
                <w:sz w:val="28"/>
              </w:rPr>
              <w:t>五、</w:t>
            </w:r>
            <w:r>
              <w:rPr>
                <w:rFonts w:ascii="仿宋" w:hAnsi="仿宋" w:cs="仿宋" w:eastAsia="仿宋"/>
                <w:sz w:val="28"/>
              </w:rPr>
              <w:t>防制内容</w:t>
            </w:r>
          </w:p>
          <w:p>
            <w:pPr>
              <w:pStyle w:val="null3"/>
              <w:ind w:firstLine="560"/>
              <w:jc w:val="both"/>
            </w:pPr>
            <w:r>
              <w:rPr>
                <w:rFonts w:ascii="仿宋" w:hAnsi="仿宋" w:cs="仿宋" w:eastAsia="仿宋"/>
                <w:sz w:val="28"/>
                <w:shd w:fill="FFFFFF" w:val="clear"/>
              </w:rPr>
              <w:t>1.建立鼠长效防制机制：</w:t>
            </w:r>
          </w:p>
          <w:p>
            <w:pPr>
              <w:pStyle w:val="null3"/>
              <w:ind w:firstLine="560"/>
              <w:jc w:val="both"/>
            </w:pPr>
            <w:r>
              <w:rPr>
                <w:rFonts w:ascii="仿宋" w:hAnsi="仿宋" w:cs="仿宋" w:eastAsia="仿宋"/>
                <w:sz w:val="28"/>
                <w:shd w:fill="FFFFFF" w:val="clear"/>
              </w:rPr>
              <w:t>（</w:t>
            </w:r>
            <w:r>
              <w:rPr>
                <w:rFonts w:ascii="仿宋" w:hAnsi="仿宋" w:cs="仿宋" w:eastAsia="仿宋"/>
                <w:sz w:val="28"/>
                <w:shd w:fill="FFFFFF" w:val="clear"/>
              </w:rPr>
              <w:t>1）在学校、街道办、居民小区、社区、城中村、机关单位等病媒生物防制考核重点区安装鼠防系统（鼠诱饵站），每月检查、监测，掌握鼠害生长、繁殖、危害规律，达到早预防、早防控。</w:t>
            </w:r>
          </w:p>
          <w:p>
            <w:pPr>
              <w:pStyle w:val="null3"/>
              <w:ind w:firstLine="560"/>
              <w:jc w:val="both"/>
            </w:pPr>
            <w:r>
              <w:rPr>
                <w:rFonts w:ascii="仿宋" w:hAnsi="仿宋" w:cs="仿宋" w:eastAsia="仿宋"/>
                <w:sz w:val="28"/>
                <w:shd w:fill="FFFFFF" w:val="clear"/>
              </w:rPr>
              <w:t>（</w:t>
            </w:r>
            <w:r>
              <w:rPr>
                <w:rFonts w:ascii="仿宋" w:hAnsi="仿宋" w:cs="仿宋" w:eastAsia="仿宋"/>
                <w:sz w:val="28"/>
                <w:shd w:fill="FFFFFF" w:val="clear"/>
              </w:rPr>
              <w:t>2）春季或秋季在公共区域等重点单位实施大面积灭鼠工作，解决公共区域与平房住户的鼠患入侵问题。</w:t>
            </w:r>
          </w:p>
          <w:p>
            <w:pPr>
              <w:pStyle w:val="null3"/>
              <w:ind w:firstLine="560"/>
              <w:jc w:val="both"/>
            </w:pPr>
            <w:r>
              <w:rPr>
                <w:rFonts w:ascii="仿宋" w:hAnsi="仿宋" w:cs="仿宋" w:eastAsia="仿宋"/>
                <w:sz w:val="28"/>
                <w:shd w:fill="FFFFFF" w:val="clear"/>
              </w:rPr>
              <w:t>2、建立蟑螂长效防制机制：</w:t>
            </w:r>
          </w:p>
          <w:p>
            <w:pPr>
              <w:pStyle w:val="null3"/>
              <w:ind w:firstLine="560"/>
              <w:jc w:val="both"/>
            </w:pPr>
            <w:r>
              <w:rPr>
                <w:rFonts w:ascii="仿宋" w:hAnsi="仿宋" w:cs="仿宋" w:eastAsia="仿宋"/>
                <w:sz w:val="28"/>
                <w:shd w:fill="FFFFFF" w:val="clear"/>
              </w:rPr>
              <w:t>根据蟑螂生长、繁育特点及孳生环境，定期对机关单位重点单位实施蟑螂精准防制工作。</w:t>
            </w:r>
          </w:p>
          <w:p>
            <w:pPr>
              <w:pStyle w:val="null3"/>
              <w:ind w:firstLine="560"/>
              <w:jc w:val="both"/>
            </w:pPr>
            <w:r>
              <w:rPr>
                <w:rFonts w:ascii="仿宋" w:hAnsi="仿宋" w:cs="仿宋" w:eastAsia="仿宋"/>
                <w:sz w:val="28"/>
                <w:shd w:fill="FFFFFF" w:val="clear"/>
              </w:rPr>
              <w:t>3、建立蚊蝇的长效防制体系：</w:t>
            </w:r>
          </w:p>
          <w:p>
            <w:pPr>
              <w:pStyle w:val="null3"/>
              <w:ind w:firstLine="560"/>
              <w:jc w:val="both"/>
            </w:pPr>
            <w:r>
              <w:rPr>
                <w:rFonts w:ascii="仿宋" w:hAnsi="仿宋" w:cs="仿宋" w:eastAsia="仿宋"/>
                <w:sz w:val="28"/>
                <w:shd w:fill="FFFFFF" w:val="clear"/>
              </w:rPr>
              <w:t>（</w:t>
            </w:r>
            <w:r>
              <w:rPr>
                <w:rFonts w:ascii="仿宋" w:hAnsi="仿宋" w:cs="仿宋" w:eastAsia="仿宋"/>
                <w:sz w:val="28"/>
                <w:shd w:fill="FFFFFF" w:val="clear"/>
              </w:rPr>
              <w:t>1）对防制区域范围内现场的垃圾池点、卫生间墙体和孳生地周边实施滞留喷洒，进行蚊蝇防制工作，有效降低蚊蝇发生密度。</w:t>
            </w:r>
          </w:p>
          <w:p>
            <w:pPr>
              <w:pStyle w:val="null3"/>
              <w:ind w:firstLine="560"/>
              <w:jc w:val="both"/>
            </w:pPr>
            <w:r>
              <w:rPr>
                <w:rFonts w:ascii="仿宋" w:hAnsi="仿宋" w:cs="仿宋" w:eastAsia="仿宋"/>
                <w:sz w:val="28"/>
                <w:shd w:fill="FFFFFF" w:val="clear"/>
              </w:rPr>
              <w:t>（</w:t>
            </w:r>
            <w:r>
              <w:rPr>
                <w:rFonts w:ascii="仿宋" w:hAnsi="仿宋" w:cs="仿宋" w:eastAsia="仿宋"/>
                <w:sz w:val="28"/>
                <w:shd w:fill="FFFFFF" w:val="clear"/>
              </w:rPr>
              <w:t>2）对防制区域范围内单位5米以下绿化带实施绿篱喷洒技术，具体防制频次根据蚊虫发生情况确定，并对蚊孳生地进行孳生地处理。</w:t>
            </w:r>
          </w:p>
          <w:p>
            <w:pPr>
              <w:pStyle w:val="null3"/>
              <w:ind w:firstLine="560"/>
              <w:jc w:val="both"/>
            </w:pPr>
            <w:r>
              <w:rPr>
                <w:rFonts w:ascii="仿宋" w:hAnsi="仿宋" w:cs="仿宋" w:eastAsia="仿宋"/>
                <w:sz w:val="28"/>
                <w:shd w:fill="FFFFFF" w:val="clear"/>
              </w:rPr>
              <w:t>（</w:t>
            </w:r>
            <w:r>
              <w:rPr>
                <w:rFonts w:ascii="仿宋" w:hAnsi="仿宋" w:cs="仿宋" w:eastAsia="仿宋"/>
                <w:sz w:val="28"/>
                <w:shd w:fill="FFFFFF" w:val="clear"/>
              </w:rPr>
              <w:t>3）定期在街道绿化、居民区、垃圾池点、公厕等公共区域孳生地附近，在蝇发生季节吊挂诱蝇袋并实时监测，根据蝇发生密度情况实施滞留喷洒灭蝇工作。</w:t>
            </w:r>
          </w:p>
          <w:p>
            <w:pPr>
              <w:pStyle w:val="null3"/>
              <w:ind w:firstLine="560"/>
              <w:jc w:val="both"/>
            </w:pPr>
            <w:r>
              <w:rPr>
                <w:rFonts w:ascii="仿宋" w:hAnsi="仿宋" w:cs="仿宋" w:eastAsia="仿宋"/>
                <w:sz w:val="28"/>
                <w:shd w:fill="FFFFFF" w:val="clear"/>
              </w:rPr>
              <w:t>（</w:t>
            </w:r>
            <w:r>
              <w:rPr>
                <w:rFonts w:ascii="仿宋" w:hAnsi="仿宋" w:cs="仿宋" w:eastAsia="仿宋"/>
                <w:sz w:val="28"/>
                <w:shd w:fill="FFFFFF" w:val="clear"/>
              </w:rPr>
              <w:t>4）对景观水体、大型积水容器，积水管道井、沙井在蚊虫发生季定期投放生物灭蚊幼制剂，小型器皿包括轮胎等易积水容器定时发动群众做好翻盆倒罐工作，确保持续控制蚊虫密度。</w:t>
            </w:r>
          </w:p>
          <w:p>
            <w:pPr>
              <w:pStyle w:val="null3"/>
              <w:ind w:firstLine="560"/>
              <w:jc w:val="both"/>
            </w:pPr>
            <w:r>
              <w:rPr>
                <w:rFonts w:ascii="仿宋" w:hAnsi="仿宋" w:cs="仿宋" w:eastAsia="仿宋"/>
                <w:sz w:val="28"/>
                <w:shd w:fill="FFFFFF" w:val="clear"/>
              </w:rPr>
              <w:t>（</w:t>
            </w:r>
            <w:r>
              <w:rPr>
                <w:rFonts w:ascii="仿宋" w:hAnsi="仿宋" w:cs="仿宋" w:eastAsia="仿宋"/>
                <w:sz w:val="28"/>
                <w:shd w:fill="FFFFFF" w:val="clear"/>
              </w:rPr>
              <w:t>5）若监测发现有成蚊成蝇发生时，启动大型车载超低容量喷雾器做空间灭蚊蝇工作，迅速有效降低蚊蝇及其他飞虫密度。</w:t>
            </w:r>
          </w:p>
          <w:p>
            <w:pPr>
              <w:pStyle w:val="null3"/>
              <w:spacing w:before="255" w:after="255"/>
              <w:ind w:left="285"/>
              <w:jc w:val="left"/>
              <w:outlineLvl w:val="1"/>
            </w:pPr>
            <w:r>
              <w:rPr>
                <w:rFonts w:ascii="仿宋" w:hAnsi="仿宋" w:cs="仿宋" w:eastAsia="仿宋"/>
                <w:b/>
                <w:sz w:val="28"/>
              </w:rPr>
              <w:t>六、消杀总轮次</w:t>
            </w:r>
          </w:p>
          <w:p>
            <w:pPr>
              <w:pStyle w:val="null3"/>
              <w:spacing w:before="255" w:after="255"/>
              <w:ind w:left="285"/>
              <w:jc w:val="left"/>
              <w:outlineLvl w:val="1"/>
            </w:pPr>
            <w:r>
              <w:rPr>
                <w:rFonts w:ascii="仿宋" w:hAnsi="仿宋" w:cs="仿宋" w:eastAsia="仿宋"/>
                <w:b/>
                <w:sz w:val="28"/>
                <w:shd w:fill="FFFFFF" w:val="clear"/>
              </w:rPr>
              <w:t>消杀平均轮次</w:t>
            </w:r>
            <w:r>
              <w:rPr>
                <w:rFonts w:ascii="仿宋" w:hAnsi="仿宋" w:cs="仿宋" w:eastAsia="仿宋"/>
                <w:b/>
                <w:sz w:val="28"/>
                <w:shd w:fill="FFFFFF" w:val="clear"/>
              </w:rPr>
              <w:t>≥4次。</w:t>
            </w:r>
          </w:p>
          <w:p>
            <w:pPr>
              <w:pStyle w:val="null3"/>
              <w:spacing w:after="120"/>
              <w:jc w:val="both"/>
            </w:pPr>
            <w:r>
              <w:rPr>
                <w:rFonts w:ascii="仿宋" w:hAnsi="仿宋" w:cs="仿宋" w:eastAsia="仿宋"/>
                <w:sz w:val="28"/>
                <w:shd w:fill="FFFFFF" w:val="clear"/>
              </w:rPr>
              <w:t>一标段点位明细</w:t>
            </w:r>
          </w:p>
          <w:p>
            <w:pPr>
              <w:pStyle w:val="null3"/>
              <w:spacing w:after="120"/>
              <w:jc w:val="both"/>
            </w:pPr>
            <w:r>
              <w:rPr>
                <w:rFonts w:ascii="仿宋" w:hAnsi="仿宋" w:cs="仿宋" w:eastAsia="仿宋"/>
                <w:b/>
                <w:sz w:val="28"/>
              </w:rPr>
              <w:t>新区</w:t>
            </w:r>
          </w:p>
          <w:tbl>
            <w:tblPr>
              <w:tblInd w:type="dxa" w:w="90"/>
              <w:tblBorders>
                <w:top w:val="none" w:color="000000" w:sz="4"/>
                <w:left w:val="none" w:color="000000" w:sz="4"/>
                <w:bottom w:val="none" w:color="000000" w:sz="4"/>
                <w:right w:val="none" w:color="000000" w:sz="4"/>
                <w:insideH w:val="none"/>
                <w:insideV w:val="none"/>
              </w:tblBorders>
            </w:tblPr>
            <w:tblGrid>
              <w:gridCol w:w="275"/>
              <w:gridCol w:w="654"/>
              <w:gridCol w:w="1614"/>
            </w:tblGrid>
            <w:tr>
              <w:tc>
                <w:tcPr>
                  <w:tcW w:type="dxa" w:w="27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序号</w:t>
                  </w:r>
                </w:p>
              </w:tc>
              <w:tc>
                <w:tcPr>
                  <w:tcW w:type="dxa" w:w="65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类别</w:t>
                  </w:r>
                </w:p>
              </w:tc>
              <w:tc>
                <w:tcPr>
                  <w:tcW w:type="dxa" w:w="161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点位名称</w:t>
                  </w:r>
                </w:p>
              </w:tc>
            </w:tr>
            <w:tr>
              <w:tc>
                <w:tcPr>
                  <w:tcW w:type="dxa" w:w="275"/>
                  <w:vMerge/>
                  <w:tcBorders>
                    <w:top w:val="single" w:color="000000" w:sz="4"/>
                    <w:left w:val="single" w:color="000000" w:sz="4"/>
                    <w:bottom w:val="single" w:color="000000" w:sz="4"/>
                    <w:right w:val="single" w:color="000000" w:sz="4"/>
                  </w:tcBorders>
                </w:tcPr>
                <w:p/>
              </w:tc>
              <w:tc>
                <w:tcPr>
                  <w:tcW w:type="dxa" w:w="654"/>
                  <w:vMerge/>
                  <w:tcBorders>
                    <w:top w:val="single" w:color="000000" w:sz="4"/>
                    <w:left w:val="none" w:color="000000" w:sz="4"/>
                    <w:bottom w:val="single" w:color="000000" w:sz="4"/>
                    <w:right w:val="single" w:color="000000" w:sz="4"/>
                  </w:tcBorders>
                </w:tcPr>
                <w:p/>
              </w:tc>
              <w:tc>
                <w:tcPr>
                  <w:tcW w:type="dxa" w:w="1614"/>
                  <w:vMerge/>
                  <w:tcBorders>
                    <w:top w:val="single" w:color="000000" w:sz="4"/>
                    <w:left w:val="none" w:color="000000" w:sz="4"/>
                    <w:bottom w:val="single" w:color="000000" w:sz="4"/>
                    <w:right w:val="single" w:color="000000" w:sz="4"/>
                  </w:tcBorders>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(1)街道办事处</w:t>
                  </w:r>
                </w:p>
              </w:tc>
              <w:tc>
                <w:tcPr>
                  <w:tcW w:type="dxa" w:w="161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坡头街道办</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w:t>
                  </w:r>
                </w:p>
              </w:tc>
              <w:tc>
                <w:tcPr>
                  <w:tcW w:type="dxa" w:w="6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(2)城中村城乡结合部</w:t>
                  </w:r>
                </w:p>
              </w:tc>
              <w:tc>
                <w:tcPr>
                  <w:tcW w:type="dxa" w:w="1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中老村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w:t>
                  </w:r>
                </w:p>
              </w:tc>
              <w:tc>
                <w:tcPr>
                  <w:tcW w:type="dxa" w:w="654"/>
                  <w:vMerge/>
                  <w:tcBorders>
                    <w:top w:val="none" w:color="000000" w:sz="4"/>
                    <w:left w:val="none" w:color="000000" w:sz="4"/>
                    <w:bottom w:val="single" w:color="000000" w:sz="4"/>
                    <w:right w:val="single" w:color="000000" w:sz="4"/>
                  </w:tcBorders>
                </w:tcP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景丰村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w:t>
                  </w:r>
                </w:p>
              </w:tc>
              <w:tc>
                <w:tcPr>
                  <w:tcW w:type="dxa" w:w="654"/>
                  <w:vMerge/>
                  <w:tcBorders>
                    <w:top w:val="none" w:color="000000" w:sz="4"/>
                    <w:left w:val="none" w:color="000000" w:sz="4"/>
                    <w:bottom w:val="single" w:color="000000" w:sz="4"/>
                    <w:right w:val="single" w:color="000000" w:sz="4"/>
                  </w:tcBorders>
                </w:tcP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陈坪村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4</w:t>
                  </w:r>
                </w:p>
              </w:tc>
              <w:tc>
                <w:tcPr>
                  <w:tcW w:type="dxa" w:w="654"/>
                  <w:vMerge/>
                  <w:tcBorders>
                    <w:top w:val="none" w:color="000000" w:sz="4"/>
                    <w:left w:val="none" w:color="000000" w:sz="4"/>
                    <w:bottom w:val="single" w:color="000000" w:sz="4"/>
                    <w:right w:val="single" w:color="000000" w:sz="4"/>
                  </w:tcBorders>
                </w:tcP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赵家坡村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5</w:t>
                  </w:r>
                </w:p>
              </w:tc>
              <w:tc>
                <w:tcPr>
                  <w:tcW w:type="dxa" w:w="654"/>
                  <w:vMerge/>
                  <w:tcBorders>
                    <w:top w:val="none" w:color="000000" w:sz="4"/>
                    <w:left w:val="none" w:color="000000" w:sz="4"/>
                    <w:bottom w:val="single" w:color="000000" w:sz="4"/>
                    <w:right w:val="single" w:color="000000" w:sz="4"/>
                  </w:tcBorders>
                </w:tcP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王岩村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6</w:t>
                  </w:r>
                </w:p>
              </w:tc>
              <w:tc>
                <w:tcPr>
                  <w:tcW w:type="dxa" w:w="654"/>
                  <w:vMerge/>
                  <w:tcBorders>
                    <w:top w:val="none" w:color="000000" w:sz="4"/>
                    <w:left w:val="none" w:color="000000" w:sz="4"/>
                    <w:bottom w:val="single" w:color="000000" w:sz="4"/>
                    <w:right w:val="single" w:color="000000" w:sz="4"/>
                  </w:tcBorders>
                </w:tcP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齐家坡村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7</w:t>
                  </w:r>
                </w:p>
              </w:tc>
              <w:tc>
                <w:tcPr>
                  <w:tcW w:type="dxa" w:w="654"/>
                  <w:vMerge/>
                  <w:tcBorders>
                    <w:top w:val="none" w:color="000000" w:sz="4"/>
                    <w:left w:val="none" w:color="000000" w:sz="4"/>
                    <w:bottom w:val="single" w:color="000000" w:sz="4"/>
                    <w:right w:val="single" w:color="000000" w:sz="4"/>
                  </w:tcBorders>
                </w:tcP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方巷口村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8</w:t>
                  </w:r>
                </w:p>
              </w:tc>
              <w:tc>
                <w:tcPr>
                  <w:tcW w:type="dxa" w:w="654"/>
                  <w:vMerge/>
                  <w:tcBorders>
                    <w:top w:val="none" w:color="000000" w:sz="4"/>
                    <w:left w:val="none" w:color="000000" w:sz="4"/>
                    <w:bottom w:val="single" w:color="000000" w:sz="4"/>
                    <w:right w:val="single" w:color="000000" w:sz="4"/>
                  </w:tcBorders>
                </w:tcP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上高埝村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9</w:t>
                  </w:r>
                </w:p>
              </w:tc>
              <w:tc>
                <w:tcPr>
                  <w:tcW w:type="dxa" w:w="654"/>
                  <w:vMerge/>
                  <w:tcBorders>
                    <w:top w:val="none" w:color="000000" w:sz="4"/>
                    <w:left w:val="none" w:color="000000" w:sz="4"/>
                    <w:bottom w:val="single" w:color="000000" w:sz="4"/>
                    <w:right w:val="single" w:color="000000" w:sz="4"/>
                  </w:tcBorders>
                </w:tcP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申河村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10</w:t>
                  </w:r>
                </w:p>
              </w:tc>
              <w:tc>
                <w:tcPr>
                  <w:tcW w:type="dxa" w:w="654"/>
                  <w:vMerge/>
                  <w:tcBorders>
                    <w:top w:val="none" w:color="000000" w:sz="4"/>
                    <w:left w:val="none" w:color="000000" w:sz="4"/>
                    <w:bottom w:val="single" w:color="000000" w:sz="4"/>
                    <w:right w:val="single" w:color="000000" w:sz="4"/>
                  </w:tcBorders>
                </w:tcP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野狐坡村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11</w:t>
                  </w:r>
                </w:p>
              </w:tc>
              <w:tc>
                <w:tcPr>
                  <w:tcW w:type="dxa" w:w="654"/>
                  <w:vMerge/>
                  <w:tcBorders>
                    <w:top w:val="none" w:color="000000" w:sz="4"/>
                    <w:left w:val="none" w:color="000000" w:sz="4"/>
                    <w:bottom w:val="single" w:color="000000" w:sz="4"/>
                    <w:right w:val="single" w:color="000000" w:sz="4"/>
                  </w:tcBorders>
                </w:tcP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崔家坡村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12</w:t>
                  </w:r>
                </w:p>
              </w:tc>
              <w:tc>
                <w:tcPr>
                  <w:tcW w:type="dxa" w:w="654"/>
                  <w:vMerge/>
                  <w:tcBorders>
                    <w:top w:val="none" w:color="000000" w:sz="4"/>
                    <w:left w:val="none" w:color="000000" w:sz="4"/>
                    <w:bottom w:val="single" w:color="000000" w:sz="4"/>
                    <w:right w:val="single" w:color="000000" w:sz="4"/>
                  </w:tcBorders>
                </w:tcP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上楼村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13</w:t>
                  </w:r>
                </w:p>
              </w:tc>
              <w:tc>
                <w:tcPr>
                  <w:tcW w:type="dxa" w:w="654"/>
                  <w:vMerge/>
                  <w:tcBorders>
                    <w:top w:val="none" w:color="000000" w:sz="4"/>
                    <w:left w:val="none" w:color="000000" w:sz="4"/>
                    <w:bottom w:val="single" w:color="000000" w:sz="4"/>
                    <w:right w:val="single" w:color="000000" w:sz="4"/>
                  </w:tcBorders>
                </w:tcP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张沟村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14</w:t>
                  </w:r>
                </w:p>
              </w:tc>
              <w:tc>
                <w:tcPr>
                  <w:tcW w:type="dxa" w:w="654"/>
                  <w:vMerge/>
                  <w:tcBorders>
                    <w:top w:val="none" w:color="000000" w:sz="4"/>
                    <w:left w:val="none" w:color="000000" w:sz="4"/>
                    <w:bottom w:val="single" w:color="000000" w:sz="4"/>
                    <w:right w:val="single" w:color="000000" w:sz="4"/>
                  </w:tcBorders>
                </w:tcP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袁家村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15</w:t>
                  </w:r>
                </w:p>
              </w:tc>
              <w:tc>
                <w:tcPr>
                  <w:tcW w:type="dxa" w:w="654"/>
                  <w:vMerge/>
                  <w:tcBorders>
                    <w:top w:val="none" w:color="000000" w:sz="4"/>
                    <w:left w:val="none" w:color="000000" w:sz="4"/>
                    <w:bottom w:val="single" w:color="000000" w:sz="4"/>
                    <w:right w:val="single" w:color="000000" w:sz="4"/>
                  </w:tcBorders>
                </w:tcP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郭家村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16</w:t>
                  </w:r>
                </w:p>
              </w:tc>
              <w:tc>
                <w:tcPr>
                  <w:tcW w:type="dxa" w:w="654"/>
                  <w:vMerge/>
                  <w:tcBorders>
                    <w:top w:val="none" w:color="000000" w:sz="4"/>
                    <w:left w:val="none" w:color="000000" w:sz="4"/>
                    <w:bottom w:val="single" w:color="000000" w:sz="4"/>
                    <w:right w:val="single" w:color="000000" w:sz="4"/>
                  </w:tcBorders>
                </w:tcP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文家村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17</w:t>
                  </w:r>
                </w:p>
              </w:tc>
              <w:tc>
                <w:tcPr>
                  <w:tcW w:type="dxa" w:w="654"/>
                  <w:vMerge/>
                  <w:tcBorders>
                    <w:top w:val="none" w:color="000000" w:sz="4"/>
                    <w:left w:val="none" w:color="000000" w:sz="4"/>
                    <w:bottom w:val="single" w:color="000000" w:sz="4"/>
                    <w:right w:val="single" w:color="000000" w:sz="4"/>
                  </w:tcBorders>
                </w:tcP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石仁村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18</w:t>
                  </w:r>
                </w:p>
              </w:tc>
              <w:tc>
                <w:tcPr>
                  <w:tcW w:type="dxa" w:w="654"/>
                  <w:vMerge/>
                  <w:tcBorders>
                    <w:top w:val="none" w:color="000000" w:sz="4"/>
                    <w:left w:val="none" w:color="000000" w:sz="4"/>
                    <w:bottom w:val="single" w:color="000000" w:sz="4"/>
                    <w:right w:val="single" w:color="000000" w:sz="4"/>
                  </w:tcBorders>
                </w:tcP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下高埝村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19</w:t>
                  </w:r>
                </w:p>
              </w:tc>
              <w:tc>
                <w:tcPr>
                  <w:tcW w:type="dxa" w:w="654"/>
                  <w:vMerge/>
                  <w:tcBorders>
                    <w:top w:val="none" w:color="000000" w:sz="4"/>
                    <w:left w:val="none" w:color="000000" w:sz="4"/>
                    <w:bottom w:val="single" w:color="000000" w:sz="4"/>
                    <w:right w:val="single" w:color="000000" w:sz="4"/>
                  </w:tcBorders>
                </w:tcP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新城村</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20</w:t>
                  </w:r>
                </w:p>
              </w:tc>
              <w:tc>
                <w:tcPr>
                  <w:tcW w:type="dxa" w:w="654"/>
                  <w:vMerge/>
                  <w:tcBorders>
                    <w:top w:val="none" w:color="000000" w:sz="4"/>
                    <w:left w:val="none" w:color="000000" w:sz="4"/>
                    <w:bottom w:val="single" w:color="000000" w:sz="4"/>
                    <w:right w:val="single" w:color="000000" w:sz="4"/>
                  </w:tcBorders>
                </w:tcP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任家庄村</w:t>
                  </w:r>
                </w:p>
              </w:tc>
            </w:tr>
          </w:tbl>
          <w:p>
            <w:pPr>
              <w:pStyle w:val="null3"/>
              <w:jc w:val="both"/>
            </w:pPr>
            <w:r>
              <w:rPr>
                <w:rFonts w:ascii="仿宋" w:hAnsi="仿宋" w:cs="仿宋" w:eastAsia="仿宋"/>
                <w:b/>
                <w:sz w:val="28"/>
              </w:rPr>
              <w:t>王益区</w:t>
            </w:r>
          </w:p>
          <w:tbl>
            <w:tblPr>
              <w:tblInd w:type="dxa" w:w="135"/>
              <w:tblBorders>
                <w:top w:val="none" w:color="000000" w:sz="4"/>
                <w:left w:val="none" w:color="000000" w:sz="4"/>
                <w:bottom w:val="none" w:color="000000" w:sz="4"/>
                <w:right w:val="none" w:color="000000" w:sz="4"/>
                <w:insideH w:val="none"/>
                <w:insideV w:val="none"/>
              </w:tblBorders>
            </w:tblPr>
            <w:tblGrid>
              <w:gridCol w:w="220"/>
              <w:gridCol w:w="634"/>
              <w:gridCol w:w="1693"/>
            </w:tblGrid>
            <w:tr>
              <w:tc>
                <w:tcPr>
                  <w:tcW w:type="dxa" w:w="22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序号</w:t>
                  </w:r>
                </w:p>
              </w:tc>
              <w:tc>
                <w:tcPr>
                  <w:tcW w:type="dxa" w:w="63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类别</w:t>
                  </w:r>
                </w:p>
              </w:tc>
              <w:tc>
                <w:tcPr>
                  <w:tcW w:type="dxa" w:w="1693"/>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840"/>
                    <w:jc w:val="left"/>
                  </w:pPr>
                  <w:r>
                    <w:rPr>
                      <w:rFonts w:ascii="仿宋" w:hAnsi="仿宋" w:cs="仿宋" w:eastAsia="仿宋"/>
                      <w:color w:val="000000"/>
                      <w:sz w:val="28"/>
                    </w:rPr>
                    <w:t>点位名称</w:t>
                  </w:r>
                </w:p>
              </w:tc>
            </w:tr>
            <w:tr>
              <w:tc>
                <w:tcPr>
                  <w:tcW w:type="dxa" w:w="220"/>
                  <w:vMerge/>
                  <w:tcBorders>
                    <w:top w:val="single" w:color="000000" w:sz="4"/>
                    <w:left w:val="single" w:color="000000" w:sz="4"/>
                    <w:bottom w:val="single" w:color="000000" w:sz="4"/>
                    <w:right w:val="single" w:color="000000" w:sz="4"/>
                  </w:tcBorders>
                </w:tcPr>
                <w:p/>
              </w:tc>
              <w:tc>
                <w:tcPr>
                  <w:tcW w:type="dxa" w:w="634"/>
                  <w:vMerge/>
                  <w:tcBorders>
                    <w:top w:val="single" w:color="000000" w:sz="4"/>
                    <w:left w:val="none" w:color="000000" w:sz="4"/>
                    <w:bottom w:val="single" w:color="000000" w:sz="4"/>
                    <w:right w:val="single" w:color="000000" w:sz="4"/>
                  </w:tcBorders>
                </w:tcPr>
                <w:p/>
              </w:tc>
              <w:tc>
                <w:tcPr>
                  <w:tcW w:type="dxa" w:w="1693"/>
                  <w:vMerge/>
                  <w:tcBorders>
                    <w:top w:val="single" w:color="000000" w:sz="4"/>
                    <w:left w:val="none" w:color="000000" w:sz="4"/>
                    <w:bottom w:val="none" w:color="000000" w:sz="4"/>
                    <w:right w:val="single" w:color="000000" w:sz="4"/>
                  </w:tcBorders>
                </w:tc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w:t>
                  </w:r>
                </w:p>
              </w:tc>
              <w:tc>
                <w:tcPr>
                  <w:tcW w:type="dxa" w:w="63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w:t>
                  </w:r>
                  <w:r>
                    <w:rPr>
                      <w:rFonts w:ascii="仿宋" w:hAnsi="仿宋" w:cs="仿宋" w:eastAsia="仿宋"/>
                      <w:color w:val="000000"/>
                      <w:sz w:val="28"/>
                    </w:rPr>
                    <w:t>1）学校</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陕西省煤炭建设公司第一中学</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w:t>
                  </w:r>
                </w:p>
              </w:tc>
              <w:tc>
                <w:tcPr>
                  <w:tcW w:type="dxa" w:w="634"/>
                  <w:vMerge/>
                  <w:tcBorders>
                    <w:top w:val="none" w:color="000000" w:sz="4"/>
                    <w:left w:val="none" w:color="000000" w:sz="4"/>
                    <w:bottom w:val="non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铜川市第二中学</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w:t>
                  </w:r>
                </w:p>
              </w:tc>
              <w:tc>
                <w:tcPr>
                  <w:tcW w:type="dxa" w:w="634"/>
                  <w:vMerge/>
                  <w:tcBorders>
                    <w:top w:val="none" w:color="000000" w:sz="4"/>
                    <w:left w:val="none" w:color="000000" w:sz="4"/>
                    <w:bottom w:val="non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铜川市桃园第二中小学</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4</w:t>
                  </w:r>
                </w:p>
              </w:tc>
              <w:tc>
                <w:tcPr>
                  <w:tcW w:type="dxa" w:w="634"/>
                  <w:vMerge/>
                  <w:tcBorders>
                    <w:top w:val="none" w:color="000000" w:sz="4"/>
                    <w:left w:val="none" w:color="000000" w:sz="4"/>
                    <w:bottom w:val="non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铜川市红旗街小学</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5</w:t>
                  </w:r>
                </w:p>
              </w:tc>
              <w:tc>
                <w:tcPr>
                  <w:tcW w:type="dxa" w:w="634"/>
                  <w:vMerge/>
                  <w:tcBorders>
                    <w:top w:val="none" w:color="000000" w:sz="4"/>
                    <w:left w:val="none" w:color="000000" w:sz="4"/>
                    <w:bottom w:val="non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铜川市七一路小学</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6</w:t>
                  </w:r>
                </w:p>
              </w:tc>
              <w:tc>
                <w:tcPr>
                  <w:tcW w:type="dxa" w:w="634"/>
                  <w:vMerge/>
                  <w:tcBorders>
                    <w:top w:val="none" w:color="000000" w:sz="4"/>
                    <w:left w:val="none" w:color="000000" w:sz="4"/>
                    <w:bottom w:val="non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铜川市育才小学</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7</w:t>
                  </w:r>
                </w:p>
              </w:tc>
              <w:tc>
                <w:tcPr>
                  <w:tcW w:type="dxa" w:w="634"/>
                  <w:vMerge/>
                  <w:tcBorders>
                    <w:top w:val="none" w:color="000000" w:sz="4"/>
                    <w:left w:val="none" w:color="000000" w:sz="4"/>
                    <w:bottom w:val="non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铜川市青年路小学</w:t>
                  </w:r>
                </w:p>
              </w:tc>
            </w:tr>
            <w:tr>
              <w:tc>
                <w:tcPr>
                  <w:tcW w:type="dxa" w:w="22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8</w:t>
                  </w:r>
                </w:p>
              </w:tc>
              <w:tc>
                <w:tcPr>
                  <w:tcW w:type="dxa" w:w="634"/>
                  <w:vMerge/>
                  <w:tcBorders>
                    <w:top w:val="none" w:color="000000" w:sz="4"/>
                    <w:left w:val="none" w:color="000000" w:sz="4"/>
                    <w:bottom w:val="none" w:color="000000" w:sz="4"/>
                    <w:right w:val="single" w:color="000000" w:sz="4"/>
                  </w:tcBorders>
                </w:tcPr>
                <w:p/>
              </w:tc>
              <w:tc>
                <w:tcPr>
                  <w:tcW w:type="dxa" w:w="169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铜川市王益区第一幼儿园</w:t>
                  </w:r>
                </w:p>
              </w:tc>
            </w:tr>
            <w:tr>
              <w:tc>
                <w:tcPr>
                  <w:tcW w:type="dxa" w:w="2547"/>
                  <w:gridSpan w:val="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w:t>
                  </w:r>
                </w:p>
              </w:tc>
              <w:tc>
                <w:tcPr>
                  <w:tcW w:type="dxa" w:w="63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(2)居民小区</w:t>
                  </w:r>
                </w:p>
              </w:tc>
              <w:tc>
                <w:tcPr>
                  <w:tcW w:type="dxa" w:w="1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民乐综合楼</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园林局家属院</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康泰公寓</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4</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房管处家属院</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5</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集贤花苑</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6</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物资局家属院</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7</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光明小区</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8</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纸袋厂集贤花园家属楼</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9</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金桥佳苑小区</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10</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红旗干休所</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11</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怡园小区</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12</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飞龙小区</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13</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汽车站小区</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14</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二运司新小区</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15</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新川厂部小区</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16</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振兴三号</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17</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坩土矿小区</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18</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一运司家属院</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19</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振兴二号</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20</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振兴一号</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21</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心河湾小区</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22</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洞仙阁小区</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23</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七一粮站家属院</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24</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市粮食局家属院</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25</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龙城国际</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26</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丽景家园</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27</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馨苑小区</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28</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兴业小区</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29</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多经家属楼</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30</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九州国际</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31</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市二中家属院</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32</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公安局家属院</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33</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建安小区</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34</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翠溪小区</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35</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金华</w:t>
                  </w:r>
                  <w:r>
                    <w:rPr>
                      <w:rFonts w:ascii="仿宋" w:hAnsi="仿宋" w:cs="仿宋" w:eastAsia="仿宋"/>
                      <w:color w:val="000000"/>
                      <w:sz w:val="28"/>
                    </w:rPr>
                    <w:t>C区</w:t>
                  </w:r>
                </w:p>
              </w:tc>
            </w:tr>
            <w:tr>
              <w:tc>
                <w:tcPr>
                  <w:tcW w:type="dxa" w:w="25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w:t>
                  </w:r>
                </w:p>
              </w:tc>
              <w:tc>
                <w:tcPr>
                  <w:tcW w:type="dxa" w:w="63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(3)街道办事处</w:t>
                  </w:r>
                </w:p>
              </w:tc>
              <w:tc>
                <w:tcPr>
                  <w:tcW w:type="dxa" w:w="1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红旗街街道办事处</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桃园街道办事处</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七一路街道办事处</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4</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青年路街道办事处</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5</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王益街道办事处</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6</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王家河街道办事处</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7</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黄堡镇办事处</w:t>
                  </w:r>
                </w:p>
              </w:tc>
            </w:tr>
            <w:tr>
              <w:tc>
                <w:tcPr>
                  <w:tcW w:type="dxa" w:w="25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w:t>
                  </w:r>
                </w:p>
              </w:tc>
              <w:tc>
                <w:tcPr>
                  <w:tcW w:type="dxa" w:w="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(4)客运站</w:t>
                  </w:r>
                </w:p>
              </w:tc>
              <w:tc>
                <w:tcPr>
                  <w:tcW w:type="dxa" w:w="1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铜川汽车站</w:t>
                  </w:r>
                </w:p>
              </w:tc>
            </w:tr>
            <w:tr>
              <w:tc>
                <w:tcPr>
                  <w:tcW w:type="dxa" w:w="25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w:t>
                  </w:r>
                </w:p>
              </w:tc>
              <w:tc>
                <w:tcPr>
                  <w:tcW w:type="dxa" w:w="634"/>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(5)社区</w:t>
                  </w:r>
                </w:p>
              </w:tc>
              <w:tc>
                <w:tcPr>
                  <w:tcW w:type="dxa" w:w="1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南寺社区</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w:t>
                  </w:r>
                </w:p>
              </w:tc>
              <w:tc>
                <w:tcPr>
                  <w:tcW w:type="dxa" w:w="634"/>
                  <w:vMerge/>
                  <w:tcBorders>
                    <w:top w:val="single" w:color="000000" w:sz="4"/>
                    <w:left w:val="none" w:color="000000" w:sz="4"/>
                    <w:bottom w:val="non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光明社区</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w:t>
                  </w:r>
                </w:p>
              </w:tc>
              <w:tc>
                <w:tcPr>
                  <w:tcW w:type="dxa" w:w="634"/>
                  <w:vMerge/>
                  <w:tcBorders>
                    <w:top w:val="single" w:color="000000" w:sz="4"/>
                    <w:left w:val="none" w:color="000000" w:sz="4"/>
                    <w:bottom w:val="non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五一社区</w:t>
                  </w:r>
                </w:p>
              </w:tc>
            </w:tr>
            <w:tr>
              <w:tc>
                <w:tcPr>
                  <w:tcW w:type="dxa" w:w="25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w:t>
                  </w:r>
                </w:p>
              </w:tc>
              <w:tc>
                <w:tcPr>
                  <w:tcW w:type="dxa" w:w="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(6)污水处理厂</w:t>
                  </w:r>
                </w:p>
              </w:tc>
              <w:tc>
                <w:tcPr>
                  <w:tcW w:type="dxa" w:w="1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污水处理厂</w:t>
                  </w:r>
                </w:p>
              </w:tc>
            </w:tr>
            <w:tr>
              <w:tc>
                <w:tcPr>
                  <w:tcW w:type="dxa" w:w="25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w:t>
                  </w:r>
                </w:p>
              </w:tc>
              <w:tc>
                <w:tcPr>
                  <w:tcW w:type="dxa" w:w="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(7)火车站</w:t>
                  </w:r>
                </w:p>
              </w:tc>
              <w:tc>
                <w:tcPr>
                  <w:tcW w:type="dxa" w:w="1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铜川火车站</w:t>
                  </w:r>
                </w:p>
              </w:tc>
            </w:tr>
            <w:tr>
              <w:tc>
                <w:tcPr>
                  <w:tcW w:type="dxa" w:w="25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w:t>
                  </w:r>
                </w:p>
              </w:tc>
              <w:tc>
                <w:tcPr>
                  <w:tcW w:type="dxa" w:w="63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(8)城中村城乡结合部</w:t>
                  </w:r>
                </w:p>
              </w:tc>
              <w:tc>
                <w:tcPr>
                  <w:tcW w:type="dxa" w:w="1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周家村</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李家沟村</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五星村</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4</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新村</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5</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十里铺村</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6</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王益村</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7</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灰堆坡村</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8</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川口村</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9</w:t>
                  </w:r>
                </w:p>
              </w:tc>
              <w:tc>
                <w:tcPr>
                  <w:tcW w:type="dxa" w:w="634"/>
                  <w:vMerge/>
                  <w:tcBorders>
                    <w:top w:val="single" w:color="000000" w:sz="4"/>
                    <w:left w:val="none" w:color="000000" w:sz="4"/>
                    <w:bottom w:val="single" w:color="000000" w:sz="4"/>
                    <w:right w:val="single" w:color="000000" w:sz="4"/>
                  </w:tcBorders>
                </w:tcP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罗寨村</w:t>
                  </w:r>
                </w:p>
              </w:tc>
            </w:tr>
          </w:tbl>
          <w:p>
            <w:pPr>
              <w:pStyle w:val="null3"/>
              <w:spacing w:after="120"/>
              <w:jc w:val="both"/>
            </w:pPr>
            <w:r>
              <w:rPr>
                <w:rFonts w:ascii="仿宋" w:hAnsi="仿宋" w:cs="仿宋" w:eastAsia="仿宋"/>
                <w:b/>
                <w:sz w:val="28"/>
              </w:rPr>
              <w:t>印台区</w:t>
            </w:r>
          </w:p>
          <w:tbl>
            <w:tblPr>
              <w:tblBorders>
                <w:top w:val="none" w:color="000000" w:sz="4"/>
                <w:left w:val="none" w:color="000000" w:sz="4"/>
                <w:bottom w:val="none" w:color="000000" w:sz="4"/>
                <w:right w:val="none" w:color="000000" w:sz="4"/>
                <w:insideH w:val="none"/>
                <w:insideV w:val="none"/>
              </w:tblBorders>
            </w:tblPr>
            <w:tblGrid>
              <w:gridCol w:w="208"/>
              <w:gridCol w:w="584"/>
              <w:gridCol w:w="1756"/>
            </w:tblGrid>
            <w:tr>
              <w:tc>
                <w:tcPr>
                  <w:tcW w:type="dxa" w:w="20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序号</w:t>
                  </w:r>
                </w:p>
              </w:tc>
              <w:tc>
                <w:tcPr>
                  <w:tcW w:type="dxa" w:w="5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类别</w:t>
                  </w:r>
                </w:p>
              </w:tc>
              <w:tc>
                <w:tcPr>
                  <w:tcW w:type="dxa" w:w="175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点位名称</w:t>
                  </w:r>
                </w:p>
              </w:tc>
            </w:tr>
            <w:tr>
              <w:tc>
                <w:tcPr>
                  <w:tcW w:type="dxa" w:w="208"/>
                  <w:vMerge/>
                  <w:tcBorders>
                    <w:top w:val="single" w:color="000000" w:sz="4"/>
                    <w:left w:val="single" w:color="000000" w:sz="4"/>
                    <w:bottom w:val="single" w:color="000000" w:sz="4"/>
                    <w:right w:val="single" w:color="000000" w:sz="4"/>
                  </w:tcBorders>
                </w:tcPr>
                <w:p/>
              </w:tc>
              <w:tc>
                <w:tcPr>
                  <w:tcW w:type="dxa" w:w="584"/>
                  <w:vMerge/>
                  <w:tcBorders>
                    <w:top w:val="single" w:color="000000" w:sz="4"/>
                    <w:left w:val="none" w:color="000000" w:sz="4"/>
                    <w:bottom w:val="single" w:color="000000" w:sz="4"/>
                    <w:right w:val="single" w:color="000000" w:sz="4"/>
                  </w:tcBorders>
                </w:tcPr>
                <w:p/>
              </w:tc>
              <w:tc>
                <w:tcPr>
                  <w:tcW w:type="dxa" w:w="1756"/>
                  <w:vMerge/>
                  <w:tcBorders>
                    <w:top w:val="single" w:color="000000" w:sz="4"/>
                    <w:left w:val="none" w:color="000000" w:sz="4"/>
                    <w:bottom w:val="singl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w:t>
                  </w:r>
                </w:p>
              </w:tc>
              <w:tc>
                <w:tcPr>
                  <w:tcW w:type="dxa" w:w="5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w:t>
                  </w:r>
                  <w:r>
                    <w:rPr>
                      <w:rFonts w:ascii="仿宋" w:hAnsi="仿宋" w:cs="仿宋" w:eastAsia="仿宋"/>
                      <w:color w:val="000000"/>
                      <w:sz w:val="28"/>
                    </w:rPr>
                    <w:t>1)居民小区</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金山水岸小区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w:t>
                  </w:r>
                </w:p>
              </w:tc>
              <w:tc>
                <w:tcPr>
                  <w:tcW w:type="dxa" w:w="584"/>
                  <w:vMerge/>
                  <w:tcBorders>
                    <w:top w:val="non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郦景天下小区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w:t>
                  </w:r>
                </w:p>
              </w:tc>
              <w:tc>
                <w:tcPr>
                  <w:tcW w:type="dxa" w:w="584"/>
                  <w:vMerge/>
                  <w:tcBorders>
                    <w:top w:val="non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铝厂</w:t>
                  </w:r>
                  <w:r>
                    <w:rPr>
                      <w:rFonts w:ascii="仿宋" w:hAnsi="仿宋" w:cs="仿宋" w:eastAsia="仿宋"/>
                      <w:color w:val="000000"/>
                      <w:sz w:val="28"/>
                    </w:rPr>
                    <w:t>C区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4</w:t>
                  </w:r>
                </w:p>
              </w:tc>
              <w:tc>
                <w:tcPr>
                  <w:tcW w:type="dxa" w:w="584"/>
                  <w:vMerge/>
                  <w:tcBorders>
                    <w:top w:val="non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欧景台小区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5</w:t>
                  </w:r>
                </w:p>
              </w:tc>
              <w:tc>
                <w:tcPr>
                  <w:tcW w:type="dxa" w:w="584"/>
                  <w:vMerge/>
                  <w:tcBorders>
                    <w:top w:val="non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丰景园一期</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6</w:t>
                  </w:r>
                </w:p>
              </w:tc>
              <w:tc>
                <w:tcPr>
                  <w:tcW w:type="dxa" w:w="584"/>
                  <w:vMerge/>
                  <w:tcBorders>
                    <w:top w:val="non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丰景园二期</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7</w:t>
                  </w:r>
                </w:p>
              </w:tc>
              <w:tc>
                <w:tcPr>
                  <w:tcW w:type="dxa" w:w="584"/>
                  <w:vMerge/>
                  <w:tcBorders>
                    <w:top w:val="non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河东</w:t>
                  </w:r>
                  <w:r>
                    <w:rPr>
                      <w:rFonts w:ascii="仿宋" w:hAnsi="仿宋" w:cs="仿宋" w:eastAsia="仿宋"/>
                      <w:color w:val="000000"/>
                      <w:sz w:val="28"/>
                    </w:rPr>
                    <w:t>3.4号楼</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8</w:t>
                  </w:r>
                </w:p>
              </w:tc>
              <w:tc>
                <w:tcPr>
                  <w:tcW w:type="dxa" w:w="584"/>
                  <w:vMerge/>
                  <w:tcBorders>
                    <w:top w:val="non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河东</w:t>
                  </w:r>
                  <w:r>
                    <w:rPr>
                      <w:rFonts w:ascii="仿宋" w:hAnsi="仿宋" w:cs="仿宋" w:eastAsia="仿宋"/>
                      <w:color w:val="000000"/>
                      <w:sz w:val="28"/>
                    </w:rPr>
                    <w:t>5.6.7号楼</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9</w:t>
                  </w:r>
                </w:p>
              </w:tc>
              <w:tc>
                <w:tcPr>
                  <w:tcW w:type="dxa" w:w="584"/>
                  <w:vMerge/>
                  <w:tcBorders>
                    <w:top w:val="non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原市政家属楼</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10</w:t>
                  </w:r>
                </w:p>
              </w:tc>
              <w:tc>
                <w:tcPr>
                  <w:tcW w:type="dxa" w:w="584"/>
                  <w:vMerge/>
                  <w:tcBorders>
                    <w:top w:val="non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惠景佳苑</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11</w:t>
                  </w:r>
                </w:p>
              </w:tc>
              <w:tc>
                <w:tcPr>
                  <w:tcW w:type="dxa" w:w="584"/>
                  <w:vMerge/>
                  <w:tcBorders>
                    <w:top w:val="non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供电局小区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12</w:t>
                  </w:r>
                </w:p>
              </w:tc>
              <w:tc>
                <w:tcPr>
                  <w:tcW w:type="dxa" w:w="584"/>
                  <w:vMerge/>
                  <w:tcBorders>
                    <w:top w:val="non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市一运司马车队家属院</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13</w:t>
                  </w:r>
                </w:p>
              </w:tc>
              <w:tc>
                <w:tcPr>
                  <w:tcW w:type="dxa" w:w="584"/>
                  <w:vMerge/>
                  <w:tcBorders>
                    <w:top w:val="non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市技校家属楼</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14</w:t>
                  </w:r>
                </w:p>
              </w:tc>
              <w:tc>
                <w:tcPr>
                  <w:tcW w:type="dxa" w:w="584"/>
                  <w:vMerge/>
                  <w:tcBorders>
                    <w:top w:val="non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市自来水公司南家属楼</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15</w:t>
                  </w:r>
                </w:p>
              </w:tc>
              <w:tc>
                <w:tcPr>
                  <w:tcW w:type="dxa" w:w="584"/>
                  <w:vMerge/>
                  <w:tcBorders>
                    <w:top w:val="non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中铁花苑小区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16</w:t>
                  </w:r>
                </w:p>
              </w:tc>
              <w:tc>
                <w:tcPr>
                  <w:tcW w:type="dxa" w:w="584"/>
                  <w:vMerge/>
                  <w:tcBorders>
                    <w:top w:val="non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194队家属院</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17</w:t>
                  </w:r>
                </w:p>
              </w:tc>
              <w:tc>
                <w:tcPr>
                  <w:tcW w:type="dxa" w:w="584"/>
                  <w:vMerge/>
                  <w:tcBorders>
                    <w:top w:val="non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芳草雅筑</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18</w:t>
                  </w:r>
                </w:p>
              </w:tc>
              <w:tc>
                <w:tcPr>
                  <w:tcW w:type="dxa" w:w="584"/>
                  <w:vMerge/>
                  <w:tcBorders>
                    <w:top w:val="non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建兴佳苑</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19</w:t>
                  </w:r>
                </w:p>
              </w:tc>
              <w:tc>
                <w:tcPr>
                  <w:tcW w:type="dxa" w:w="584"/>
                  <w:vMerge/>
                  <w:tcBorders>
                    <w:top w:val="non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荣华小区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20</w:t>
                  </w:r>
                </w:p>
              </w:tc>
              <w:tc>
                <w:tcPr>
                  <w:tcW w:type="dxa" w:w="584"/>
                  <w:vMerge/>
                  <w:tcBorders>
                    <w:top w:val="non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原市交通局家属院</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21</w:t>
                  </w:r>
                </w:p>
              </w:tc>
              <w:tc>
                <w:tcPr>
                  <w:tcW w:type="dxa" w:w="584"/>
                  <w:vMerge/>
                  <w:tcBorders>
                    <w:top w:val="non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朝阳小区</w:t>
                  </w:r>
                </w:p>
              </w:tc>
            </w:tr>
            <w:tr>
              <w:tc>
                <w:tcPr>
                  <w:tcW w:type="dxa" w:w="25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w:t>
                  </w:r>
                </w:p>
              </w:tc>
              <w:tc>
                <w:tcPr>
                  <w:tcW w:type="dxa" w:w="5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(2)街道办事处</w:t>
                  </w:r>
                </w:p>
              </w:tc>
              <w:tc>
                <w:tcPr>
                  <w:tcW w:type="dxa" w:w="1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三里洞街道办事处</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w:t>
                  </w:r>
                </w:p>
              </w:tc>
              <w:tc>
                <w:tcPr>
                  <w:tcW w:type="dxa" w:w="584"/>
                  <w:vMerge/>
                  <w:tcBorders>
                    <w:top w:val="singl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城关街道办事处</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w:t>
                  </w:r>
                </w:p>
              </w:tc>
              <w:tc>
                <w:tcPr>
                  <w:tcW w:type="dxa" w:w="584"/>
                  <w:vMerge/>
                  <w:tcBorders>
                    <w:top w:val="singl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印台街道办事处</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4</w:t>
                  </w:r>
                </w:p>
              </w:tc>
              <w:tc>
                <w:tcPr>
                  <w:tcW w:type="dxa" w:w="584"/>
                  <w:vMerge/>
                  <w:tcBorders>
                    <w:top w:val="singl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金锁关办事处</w:t>
                  </w:r>
                </w:p>
              </w:tc>
            </w:tr>
            <w:tr>
              <w:tc>
                <w:tcPr>
                  <w:tcW w:type="dxa" w:w="25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w:t>
                  </w:r>
                </w:p>
              </w:tc>
              <w:tc>
                <w:tcPr>
                  <w:tcW w:type="dxa" w:w="5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(3)客运站</w:t>
                  </w:r>
                </w:p>
              </w:tc>
              <w:tc>
                <w:tcPr>
                  <w:tcW w:type="dxa" w:w="1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铜川北关汽车站</w:t>
                  </w:r>
                </w:p>
              </w:tc>
            </w:tr>
            <w:tr>
              <w:tc>
                <w:tcPr>
                  <w:tcW w:type="dxa" w:w="25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w:t>
                  </w:r>
                </w:p>
              </w:tc>
              <w:tc>
                <w:tcPr>
                  <w:tcW w:type="dxa" w:w="5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(4)建筑工地</w:t>
                  </w:r>
                </w:p>
              </w:tc>
              <w:tc>
                <w:tcPr>
                  <w:tcW w:type="dxa" w:w="1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印台区人民医院</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w:t>
                  </w:r>
                </w:p>
              </w:tc>
              <w:tc>
                <w:tcPr>
                  <w:tcW w:type="dxa" w:w="584"/>
                  <w:vMerge/>
                  <w:tcBorders>
                    <w:top w:val="singl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宋塔棚户区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w:t>
                  </w:r>
                </w:p>
              </w:tc>
              <w:tc>
                <w:tcPr>
                  <w:tcW w:type="dxa" w:w="584"/>
                  <w:vMerge/>
                  <w:tcBorders>
                    <w:top w:val="singl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印台区残疾人康复中心</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4</w:t>
                  </w:r>
                </w:p>
              </w:tc>
              <w:tc>
                <w:tcPr>
                  <w:tcW w:type="dxa" w:w="584"/>
                  <w:vMerge/>
                  <w:tcBorders>
                    <w:top w:val="singl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二运司棚户区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5</w:t>
                  </w:r>
                </w:p>
              </w:tc>
              <w:tc>
                <w:tcPr>
                  <w:tcW w:type="dxa" w:w="584"/>
                  <w:vMerge/>
                  <w:tcBorders>
                    <w:top w:val="singl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城关幼儿园</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6</w:t>
                  </w:r>
                </w:p>
              </w:tc>
              <w:tc>
                <w:tcPr>
                  <w:tcW w:type="dxa" w:w="584"/>
                  <w:vMerge/>
                  <w:tcBorders>
                    <w:top w:val="singl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谷盈粮库</w:t>
                  </w:r>
                </w:p>
              </w:tc>
            </w:tr>
            <w:tr>
              <w:tc>
                <w:tcPr>
                  <w:tcW w:type="dxa" w:w="25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w:t>
                  </w:r>
                </w:p>
              </w:tc>
              <w:tc>
                <w:tcPr>
                  <w:tcW w:type="dxa" w:w="5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w:t>
                  </w:r>
                  <w:r>
                    <w:rPr>
                      <w:rFonts w:ascii="仿宋" w:hAnsi="仿宋" w:cs="仿宋" w:eastAsia="仿宋"/>
                      <w:color w:val="000000"/>
                      <w:sz w:val="28"/>
                    </w:rPr>
                    <w:t>5）屠宰场</w:t>
                  </w:r>
                </w:p>
              </w:tc>
              <w:tc>
                <w:tcPr>
                  <w:tcW w:type="dxa" w:w="1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润民达康食品有限公司</w:t>
                  </w:r>
                </w:p>
              </w:tc>
            </w:tr>
            <w:tr>
              <w:tc>
                <w:tcPr>
                  <w:tcW w:type="dxa" w:w="25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w:t>
                  </w:r>
                </w:p>
              </w:tc>
              <w:tc>
                <w:tcPr>
                  <w:tcW w:type="dxa" w:w="5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(6)城中村城乡结合部</w:t>
                  </w:r>
                </w:p>
              </w:tc>
              <w:tc>
                <w:tcPr>
                  <w:tcW w:type="dxa" w:w="1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双碑村</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w:t>
                  </w:r>
                </w:p>
              </w:tc>
              <w:tc>
                <w:tcPr>
                  <w:tcW w:type="dxa" w:w="584"/>
                  <w:vMerge/>
                  <w:tcBorders>
                    <w:top w:val="singl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育寨村</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w:t>
                  </w:r>
                </w:p>
              </w:tc>
              <w:tc>
                <w:tcPr>
                  <w:tcW w:type="dxa" w:w="584"/>
                  <w:vMerge/>
                  <w:tcBorders>
                    <w:top w:val="singl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虎头村</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4</w:t>
                  </w:r>
                </w:p>
              </w:tc>
              <w:tc>
                <w:tcPr>
                  <w:tcW w:type="dxa" w:w="584"/>
                  <w:vMerge/>
                  <w:tcBorders>
                    <w:top w:val="singl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顺河村</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5</w:t>
                  </w:r>
                </w:p>
              </w:tc>
              <w:tc>
                <w:tcPr>
                  <w:tcW w:type="dxa" w:w="584"/>
                  <w:vMerge/>
                  <w:tcBorders>
                    <w:top w:val="singl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柳湾村</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6</w:t>
                  </w:r>
                </w:p>
              </w:tc>
              <w:tc>
                <w:tcPr>
                  <w:tcW w:type="dxa" w:w="584"/>
                  <w:vMerge/>
                  <w:tcBorders>
                    <w:top w:val="singl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印台村</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7</w:t>
                  </w:r>
                </w:p>
              </w:tc>
              <w:tc>
                <w:tcPr>
                  <w:tcW w:type="dxa" w:w="584"/>
                  <w:vMerge/>
                  <w:tcBorders>
                    <w:top w:val="singl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河东村</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8</w:t>
                  </w:r>
                </w:p>
              </w:tc>
              <w:tc>
                <w:tcPr>
                  <w:tcW w:type="dxa" w:w="584"/>
                  <w:vMerge/>
                  <w:tcBorders>
                    <w:top w:val="singl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城关村</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9</w:t>
                  </w:r>
                </w:p>
              </w:tc>
              <w:tc>
                <w:tcPr>
                  <w:tcW w:type="dxa" w:w="584"/>
                  <w:vMerge/>
                  <w:tcBorders>
                    <w:top w:val="singl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西村</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10</w:t>
                  </w:r>
                </w:p>
              </w:tc>
              <w:tc>
                <w:tcPr>
                  <w:tcW w:type="dxa" w:w="584"/>
                  <w:vMerge/>
                  <w:tcBorders>
                    <w:top w:val="singl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甘草塬村</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11</w:t>
                  </w:r>
                </w:p>
              </w:tc>
              <w:tc>
                <w:tcPr>
                  <w:tcW w:type="dxa" w:w="584"/>
                  <w:vMerge/>
                  <w:tcBorders>
                    <w:top w:val="singl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周陵村</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12</w:t>
                  </w:r>
                </w:p>
              </w:tc>
              <w:tc>
                <w:tcPr>
                  <w:tcW w:type="dxa" w:w="584"/>
                  <w:vMerge/>
                  <w:tcBorders>
                    <w:top w:val="singl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上马村</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13</w:t>
                  </w:r>
                </w:p>
              </w:tc>
              <w:tc>
                <w:tcPr>
                  <w:tcW w:type="dxa" w:w="584"/>
                  <w:vMerge/>
                  <w:tcBorders>
                    <w:top w:val="single" w:color="000000" w:sz="4"/>
                    <w:left w:val="none" w:color="000000" w:sz="4"/>
                    <w:bottom w:val="single" w:color="000000" w:sz="4"/>
                    <w:right w:val="single" w:color="000000" w:sz="4"/>
                  </w:tcBorders>
                </w:tcP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8"/>
                    </w:rPr>
                    <w:t>广阳村</w:t>
                  </w:r>
                </w:p>
              </w:tc>
            </w:tr>
          </w:tbl>
          <w:p>
            <w:pPr>
              <w:pStyle w:val="null3"/>
              <w:spacing w:after="120"/>
              <w:jc w:val="both"/>
            </w:pPr>
            <w:r>
              <w:rPr>
                <w:rFonts w:ascii="仿宋" w:hAnsi="仿宋" w:cs="仿宋" w:eastAsia="仿宋"/>
                <w:b/>
                <w:sz w:val="28"/>
              </w:rPr>
              <w:t>耀州区</w:t>
            </w:r>
          </w:p>
          <w:tbl>
            <w:tblPr>
              <w:tblBorders>
                <w:top w:val="none" w:color="000000" w:sz="4"/>
                <w:left w:val="none" w:color="000000" w:sz="4"/>
                <w:bottom w:val="none" w:color="000000" w:sz="4"/>
                <w:right w:val="none" w:color="000000" w:sz="4"/>
                <w:insideH w:val="none"/>
                <w:insideV w:val="none"/>
              </w:tblBorders>
            </w:tblPr>
            <w:tblGrid>
              <w:gridCol w:w="203"/>
              <w:gridCol w:w="776"/>
              <w:gridCol w:w="1569"/>
            </w:tblGrid>
            <w:tr>
              <w:tc>
                <w:tcPr>
                  <w:tcW w:type="dxa" w:w="20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序号</w:t>
                  </w:r>
                </w:p>
              </w:tc>
              <w:tc>
                <w:tcPr>
                  <w:tcW w:type="dxa" w:w="77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类别</w:t>
                  </w:r>
                </w:p>
              </w:tc>
              <w:tc>
                <w:tcPr>
                  <w:tcW w:type="dxa" w:w="15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点位名称</w:t>
                  </w:r>
                </w:p>
              </w:tc>
            </w:tr>
            <w:tr>
              <w:tc>
                <w:tcPr>
                  <w:tcW w:type="dxa" w:w="203"/>
                  <w:vMerge/>
                  <w:tcBorders>
                    <w:top w:val="single" w:color="000000" w:sz="4"/>
                    <w:left w:val="single" w:color="000000" w:sz="4"/>
                    <w:bottom w:val="single" w:color="000000" w:sz="4"/>
                    <w:right w:val="single" w:color="000000" w:sz="4"/>
                  </w:tcBorders>
                </w:tcPr>
                <w:p/>
              </w:tc>
              <w:tc>
                <w:tcPr>
                  <w:tcW w:type="dxa" w:w="776"/>
                  <w:vMerge/>
                  <w:tcBorders>
                    <w:top w:val="single" w:color="000000" w:sz="4"/>
                    <w:left w:val="none" w:color="000000" w:sz="4"/>
                    <w:bottom w:val="single" w:color="000000" w:sz="4"/>
                    <w:right w:val="single" w:color="000000" w:sz="4"/>
                  </w:tcBorders>
                </w:tcPr>
                <w:p/>
              </w:tc>
              <w:tc>
                <w:tcPr>
                  <w:tcW w:type="dxa" w:w="1569"/>
                  <w:vMerge/>
                  <w:tcBorders>
                    <w:top w:val="single" w:color="000000" w:sz="4"/>
                    <w:left w:val="non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w:t>
                  </w:r>
                </w:p>
              </w:tc>
              <w:tc>
                <w:tcPr>
                  <w:tcW w:type="dxa" w:w="7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(1)街道办事处</w:t>
                  </w: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董家河办事处</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w:t>
                  </w:r>
                </w:p>
              </w:tc>
              <w:tc>
                <w:tcPr>
                  <w:tcW w:type="dxa" w:w="776"/>
                  <w:vMerge/>
                  <w:tcBorders>
                    <w:top w:val="none" w:color="000000" w:sz="4"/>
                    <w:left w:val="none" w:color="000000" w:sz="4"/>
                    <w:bottom w:val="single" w:color="000000" w:sz="4"/>
                    <w:right w:val="single" w:color="000000" w:sz="4"/>
                  </w:tcBorders>
                </w:tcP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石柱办事处</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w:t>
                  </w:r>
                </w:p>
              </w:tc>
              <w:tc>
                <w:tcPr>
                  <w:tcW w:type="dxa" w:w="776"/>
                  <w:vMerge/>
                  <w:tcBorders>
                    <w:top w:val="none" w:color="000000" w:sz="4"/>
                    <w:left w:val="none" w:color="000000" w:sz="4"/>
                    <w:bottom w:val="single" w:color="000000" w:sz="4"/>
                    <w:right w:val="single" w:color="000000" w:sz="4"/>
                  </w:tcBorders>
                </w:tcP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孙塬办事处</w:t>
                  </w:r>
                </w:p>
              </w:tc>
            </w:tr>
            <w:tr>
              <w:tc>
                <w:tcPr>
                  <w:tcW w:type="dxa" w:w="25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w:t>
                  </w:r>
                </w:p>
              </w:tc>
              <w:tc>
                <w:tcPr>
                  <w:tcW w:type="dxa" w:w="77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(2)城中村城乡结合部</w:t>
                  </w:r>
                </w:p>
              </w:tc>
              <w:tc>
                <w:tcPr>
                  <w:tcW w:type="dxa" w:w="15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寺沟村</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w:t>
                  </w:r>
                </w:p>
              </w:tc>
              <w:tc>
                <w:tcPr>
                  <w:tcW w:type="dxa" w:w="776"/>
                  <w:vMerge/>
                  <w:tcBorders>
                    <w:top w:val="single" w:color="000000" w:sz="4"/>
                    <w:left w:val="none" w:color="000000" w:sz="4"/>
                    <w:bottom w:val="single" w:color="000000" w:sz="4"/>
                    <w:right w:val="single" w:color="000000" w:sz="4"/>
                  </w:tcBorders>
                </w:tcP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铁龙村</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w:t>
                  </w:r>
                </w:p>
              </w:tc>
              <w:tc>
                <w:tcPr>
                  <w:tcW w:type="dxa" w:w="776"/>
                  <w:vMerge/>
                  <w:tcBorders>
                    <w:top w:val="single" w:color="000000" w:sz="4"/>
                    <w:left w:val="none" w:color="000000" w:sz="4"/>
                    <w:bottom w:val="single" w:color="000000" w:sz="4"/>
                    <w:right w:val="single" w:color="000000" w:sz="4"/>
                  </w:tcBorders>
                </w:tcP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道东村</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4</w:t>
                  </w:r>
                </w:p>
              </w:tc>
              <w:tc>
                <w:tcPr>
                  <w:tcW w:type="dxa" w:w="776"/>
                  <w:vMerge/>
                  <w:tcBorders>
                    <w:top w:val="single" w:color="000000" w:sz="4"/>
                    <w:left w:val="none" w:color="000000" w:sz="4"/>
                    <w:bottom w:val="single" w:color="000000" w:sz="4"/>
                    <w:right w:val="single" w:color="000000" w:sz="4"/>
                  </w:tcBorders>
                </w:tcP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崔仙村</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5</w:t>
                  </w:r>
                </w:p>
              </w:tc>
              <w:tc>
                <w:tcPr>
                  <w:tcW w:type="dxa" w:w="776"/>
                  <w:vMerge/>
                  <w:tcBorders>
                    <w:top w:val="single" w:color="000000" w:sz="4"/>
                    <w:left w:val="none" w:color="000000" w:sz="4"/>
                    <w:bottom w:val="single" w:color="000000" w:sz="4"/>
                    <w:right w:val="single" w:color="000000" w:sz="4"/>
                  </w:tcBorders>
                </w:tcP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王家砭村</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6</w:t>
                  </w:r>
                </w:p>
              </w:tc>
              <w:tc>
                <w:tcPr>
                  <w:tcW w:type="dxa" w:w="776"/>
                  <w:vMerge/>
                  <w:tcBorders>
                    <w:top w:val="single" w:color="000000" w:sz="4"/>
                    <w:left w:val="none" w:color="000000" w:sz="4"/>
                    <w:bottom w:val="single" w:color="000000" w:sz="4"/>
                    <w:right w:val="single" w:color="000000" w:sz="4"/>
                  </w:tcBorders>
                </w:tcP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董家河村</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7</w:t>
                  </w:r>
                </w:p>
              </w:tc>
              <w:tc>
                <w:tcPr>
                  <w:tcW w:type="dxa" w:w="776"/>
                  <w:vMerge/>
                  <w:tcBorders>
                    <w:top w:val="single" w:color="000000" w:sz="4"/>
                    <w:left w:val="none" w:color="000000" w:sz="4"/>
                    <w:bottom w:val="single" w:color="000000" w:sz="4"/>
                    <w:right w:val="single" w:color="000000" w:sz="4"/>
                  </w:tcBorders>
                </w:tcP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党家河村</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8</w:t>
                  </w:r>
                </w:p>
              </w:tc>
              <w:tc>
                <w:tcPr>
                  <w:tcW w:type="dxa" w:w="776"/>
                  <w:vMerge/>
                  <w:tcBorders>
                    <w:top w:val="single" w:color="000000" w:sz="4"/>
                    <w:left w:val="none" w:color="000000" w:sz="4"/>
                    <w:bottom w:val="single" w:color="000000" w:sz="4"/>
                    <w:right w:val="single" w:color="000000" w:sz="4"/>
                  </w:tcBorders>
                </w:tcP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孙塬村</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9</w:t>
                  </w:r>
                </w:p>
              </w:tc>
              <w:tc>
                <w:tcPr>
                  <w:tcW w:type="dxa" w:w="776"/>
                  <w:vMerge/>
                  <w:tcBorders>
                    <w:top w:val="single" w:color="000000" w:sz="4"/>
                    <w:left w:val="none" w:color="000000" w:sz="4"/>
                    <w:bottom w:val="single" w:color="000000" w:sz="4"/>
                    <w:right w:val="single" w:color="000000" w:sz="4"/>
                  </w:tcBorders>
                </w:tcP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孝雷村</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10</w:t>
                  </w:r>
                </w:p>
              </w:tc>
              <w:tc>
                <w:tcPr>
                  <w:tcW w:type="dxa" w:w="776"/>
                  <w:vMerge/>
                  <w:tcBorders>
                    <w:top w:val="single" w:color="000000" w:sz="4"/>
                    <w:left w:val="none" w:color="000000" w:sz="4"/>
                    <w:bottom w:val="single" w:color="000000" w:sz="4"/>
                    <w:right w:val="single" w:color="000000" w:sz="4"/>
                  </w:tcBorders>
                </w:tcP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孝西村</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11</w:t>
                  </w:r>
                </w:p>
              </w:tc>
              <w:tc>
                <w:tcPr>
                  <w:tcW w:type="dxa" w:w="776"/>
                  <w:vMerge/>
                  <w:tcBorders>
                    <w:top w:val="single" w:color="000000" w:sz="4"/>
                    <w:left w:val="none" w:color="000000" w:sz="4"/>
                    <w:bottom w:val="single" w:color="000000" w:sz="4"/>
                    <w:right w:val="single" w:color="000000" w:sz="4"/>
                  </w:tcBorders>
                </w:tcP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五台村</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12</w:t>
                  </w:r>
                </w:p>
              </w:tc>
              <w:tc>
                <w:tcPr>
                  <w:tcW w:type="dxa" w:w="776"/>
                  <w:vMerge/>
                  <w:tcBorders>
                    <w:top w:val="single" w:color="000000" w:sz="4"/>
                    <w:left w:val="none" w:color="000000" w:sz="4"/>
                    <w:bottom w:val="single" w:color="000000" w:sz="4"/>
                    <w:right w:val="single" w:color="000000" w:sz="4"/>
                  </w:tcBorders>
                </w:tcP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独石</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13</w:t>
                  </w:r>
                </w:p>
              </w:tc>
              <w:tc>
                <w:tcPr>
                  <w:tcW w:type="dxa" w:w="776"/>
                  <w:vMerge/>
                  <w:tcBorders>
                    <w:top w:val="single" w:color="000000" w:sz="4"/>
                    <w:left w:val="none" w:color="000000" w:sz="4"/>
                    <w:bottom w:val="single" w:color="000000" w:sz="4"/>
                    <w:right w:val="single" w:color="000000" w:sz="4"/>
                  </w:tcBorders>
                </w:tcP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马咀村</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14</w:t>
                  </w:r>
                </w:p>
              </w:tc>
              <w:tc>
                <w:tcPr>
                  <w:tcW w:type="dxa" w:w="776"/>
                  <w:vMerge/>
                  <w:tcBorders>
                    <w:top w:val="single" w:color="000000" w:sz="4"/>
                    <w:left w:val="none" w:color="000000" w:sz="4"/>
                    <w:bottom w:val="single" w:color="000000" w:sz="4"/>
                    <w:right w:val="single" w:color="000000" w:sz="4"/>
                  </w:tcBorders>
                </w:tcPr>
                <w:p/>
              </w:tc>
              <w:tc>
                <w:tcPr>
                  <w:tcW w:type="dxa" w:w="1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8"/>
                    </w:rPr>
                    <w:t>张郝村</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标的名称：病媒生物防制消杀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560"/>
              <w:jc w:val="both"/>
            </w:pPr>
            <w:r>
              <w:rPr>
                <w:rFonts w:ascii="仿宋" w:hAnsi="仿宋" w:cs="仿宋" w:eastAsia="仿宋"/>
                <w:sz w:val="28"/>
                <w:shd w:fill="FFFFFF" w:val="clear"/>
              </w:rPr>
              <w:t>病媒生物防制是全国文明城市重要测评内容，是国家卫生城市复审的前置条件，是切断传染性疾病传播媒介的强有力措施，是老百姓饮食生活起居的安全保障，建立病媒生物防制长效机制是持续降低病媒生物密度的经济有效的管理策略。为了切实做好重点点位病媒生物防制工作，巩固扩大全市取得的病媒生物防制成果，全市开展病媒生物防制消杀。</w:t>
            </w:r>
          </w:p>
          <w:p>
            <w:pPr>
              <w:pStyle w:val="null3"/>
              <w:spacing w:after="120"/>
              <w:ind w:firstLine="560"/>
              <w:jc w:val="both"/>
            </w:pPr>
            <w:r>
              <w:rPr>
                <w:rFonts w:ascii="仿宋" w:hAnsi="仿宋" w:cs="仿宋" w:eastAsia="仿宋"/>
                <w:sz w:val="28"/>
              </w:rPr>
              <w:t>一、</w:t>
            </w:r>
            <w:r>
              <w:rPr>
                <w:rFonts w:ascii="仿宋" w:hAnsi="仿宋" w:cs="仿宋" w:eastAsia="仿宋"/>
                <w:sz w:val="28"/>
              </w:rPr>
              <w:t>防制项目：</w:t>
            </w:r>
          </w:p>
          <w:p>
            <w:pPr>
              <w:pStyle w:val="null3"/>
              <w:spacing w:after="120"/>
              <w:ind w:firstLine="1120"/>
              <w:jc w:val="both"/>
            </w:pPr>
            <w:r>
              <w:rPr>
                <w:rFonts w:ascii="仿宋" w:hAnsi="仿宋" w:cs="仿宋" w:eastAsia="仿宋"/>
                <w:sz w:val="28"/>
              </w:rPr>
              <w:t>鼠、蚊、蝇、蟑</w:t>
            </w:r>
          </w:p>
          <w:p>
            <w:pPr>
              <w:pStyle w:val="null3"/>
              <w:ind w:firstLine="560"/>
              <w:jc w:val="both"/>
            </w:pPr>
            <w:r>
              <w:rPr>
                <w:rFonts w:ascii="仿宋" w:hAnsi="仿宋" w:cs="仿宋" w:eastAsia="仿宋"/>
                <w:sz w:val="28"/>
              </w:rPr>
              <w:t>二、防制区域</w:t>
            </w:r>
          </w:p>
          <w:p>
            <w:pPr>
              <w:pStyle w:val="null3"/>
              <w:spacing w:after="120"/>
              <w:ind w:firstLine="560"/>
              <w:jc w:val="both"/>
            </w:pPr>
            <w:r>
              <w:rPr>
                <w:rFonts w:ascii="仿宋_gb2312" w:hAnsi="仿宋_gb2312" w:cs="仿宋_gb2312" w:eastAsia="仿宋_gb2312"/>
                <w:sz w:val="28"/>
                <w:shd w:fill="FFFFFF" w:val="clear"/>
              </w:rPr>
              <w:t>二标段：南市区</w:t>
            </w:r>
            <w:r>
              <w:rPr>
                <w:rFonts w:ascii="仿宋" w:hAnsi="仿宋" w:cs="仿宋" w:eastAsia="仿宋"/>
                <w:sz w:val="28"/>
                <w:shd w:fill="FFFFFF" w:val="clear"/>
              </w:rPr>
              <w:t>公共绿地</w:t>
            </w:r>
            <w:r>
              <w:rPr>
                <w:rFonts w:ascii="仿宋" w:hAnsi="仿宋" w:cs="仿宋" w:eastAsia="仿宋"/>
                <w:sz w:val="28"/>
                <w:shd w:fill="FFFFFF" w:val="clear"/>
              </w:rPr>
              <w:t>6处、居民小区57个、机关单位5个、人工湖2个、公园广场6个。</w:t>
            </w:r>
          </w:p>
          <w:p>
            <w:pPr>
              <w:pStyle w:val="null3"/>
              <w:ind w:firstLine="560"/>
              <w:jc w:val="both"/>
            </w:pPr>
            <w:r>
              <w:rPr>
                <w:rFonts w:ascii="仿宋" w:hAnsi="仿宋" w:cs="仿宋" w:eastAsia="仿宋"/>
                <w:sz w:val="28"/>
              </w:rPr>
              <w:t>三、防制目标</w:t>
            </w:r>
          </w:p>
          <w:p>
            <w:pPr>
              <w:pStyle w:val="null3"/>
              <w:ind w:firstLine="560"/>
              <w:jc w:val="both"/>
            </w:pPr>
            <w:r>
              <w:rPr>
                <w:rFonts w:ascii="仿宋" w:hAnsi="仿宋" w:cs="仿宋" w:eastAsia="仿宋"/>
                <w:sz w:val="28"/>
                <w:shd w:fill="FFFFFF" w:val="clear"/>
              </w:rPr>
              <w:t>坚持群防群制一体消杀，建立病媒生物综合管理长效管理机制，高标准实施病媒生物防制工作，使病媒生物密度水平达到国家</w:t>
            </w:r>
            <w:r>
              <w:rPr>
                <w:rFonts w:ascii="仿宋" w:hAnsi="仿宋" w:cs="仿宋" w:eastAsia="仿宋"/>
                <w:sz w:val="28"/>
                <w:shd w:fill="FFFFFF" w:val="clear"/>
              </w:rPr>
              <w:t>B级标准以上，不断改善群众用餐、购物、住宿环境，切实维护人民群众健康权益，给广大人民群众营造健康的生活环境，确保中央文明办、全国爱卫办随机暗访、明查顺利通过复审，为经济社会协调发展提供有力保障。</w:t>
            </w:r>
          </w:p>
          <w:p>
            <w:pPr>
              <w:pStyle w:val="null3"/>
              <w:ind w:firstLine="560"/>
              <w:jc w:val="both"/>
            </w:pPr>
            <w:r>
              <w:rPr>
                <w:rFonts w:ascii="仿宋" w:hAnsi="仿宋" w:cs="仿宋" w:eastAsia="仿宋"/>
                <w:sz w:val="28"/>
              </w:rPr>
              <w:t>四、防制原则</w:t>
            </w:r>
          </w:p>
          <w:p>
            <w:pPr>
              <w:pStyle w:val="null3"/>
              <w:ind w:firstLine="560"/>
              <w:jc w:val="both"/>
            </w:pPr>
            <w:r>
              <w:rPr>
                <w:rFonts w:ascii="仿宋" w:hAnsi="仿宋" w:cs="仿宋" w:eastAsia="仿宋"/>
                <w:sz w:val="28"/>
                <w:shd w:fill="FFFFFF" w:val="clear"/>
              </w:rPr>
              <w:t>坚持以环境治理、清除病媒生物孳生与栖息环境为主，以物理防制、化学防制、生物防制为辅，通过健康教育和健康促进、依法防制防制等综合防制原则，因地制宜、科学规范地开展病媒生物防制。</w:t>
            </w:r>
          </w:p>
          <w:p>
            <w:pPr>
              <w:pStyle w:val="null3"/>
              <w:ind w:firstLine="560"/>
              <w:jc w:val="both"/>
            </w:pPr>
            <w:r>
              <w:rPr>
                <w:rFonts w:ascii="仿宋" w:hAnsi="仿宋" w:cs="仿宋" w:eastAsia="仿宋"/>
                <w:sz w:val="28"/>
              </w:rPr>
              <w:t>五、</w:t>
            </w:r>
            <w:r>
              <w:rPr>
                <w:rFonts w:ascii="仿宋" w:hAnsi="仿宋" w:cs="仿宋" w:eastAsia="仿宋"/>
                <w:sz w:val="28"/>
              </w:rPr>
              <w:t>防制内容</w:t>
            </w:r>
          </w:p>
          <w:p>
            <w:pPr>
              <w:pStyle w:val="null3"/>
              <w:ind w:firstLine="560"/>
              <w:jc w:val="both"/>
            </w:pPr>
            <w:r>
              <w:rPr>
                <w:rFonts w:ascii="仿宋" w:hAnsi="仿宋" w:cs="仿宋" w:eastAsia="仿宋"/>
                <w:sz w:val="28"/>
                <w:shd w:fill="FFFFFF" w:val="clear"/>
              </w:rPr>
              <w:t>1.建立鼠长效防制机制：</w:t>
            </w:r>
          </w:p>
          <w:p>
            <w:pPr>
              <w:pStyle w:val="null3"/>
              <w:ind w:firstLine="560"/>
              <w:jc w:val="both"/>
            </w:pPr>
            <w:r>
              <w:rPr>
                <w:rFonts w:ascii="仿宋" w:hAnsi="仿宋" w:cs="仿宋" w:eastAsia="仿宋"/>
                <w:sz w:val="28"/>
                <w:shd w:fill="FFFFFF" w:val="clear"/>
              </w:rPr>
              <w:t>（</w:t>
            </w:r>
            <w:r>
              <w:rPr>
                <w:rFonts w:ascii="仿宋" w:hAnsi="仿宋" w:cs="仿宋" w:eastAsia="仿宋"/>
                <w:sz w:val="28"/>
                <w:shd w:fill="FFFFFF" w:val="clear"/>
              </w:rPr>
              <w:t>1）在学校、街道办、居民小区、社区、城中村、机关单位等病媒生物防制考核重点区安装鼠防系统（鼠诱饵站），每月检查、监测，掌握鼠害生长、繁殖、危害规律，达到早预防、早防控。</w:t>
            </w:r>
          </w:p>
          <w:p>
            <w:pPr>
              <w:pStyle w:val="null3"/>
              <w:ind w:firstLine="560"/>
              <w:jc w:val="both"/>
            </w:pPr>
            <w:r>
              <w:rPr>
                <w:rFonts w:ascii="仿宋" w:hAnsi="仿宋" w:cs="仿宋" w:eastAsia="仿宋"/>
                <w:sz w:val="28"/>
                <w:shd w:fill="FFFFFF" w:val="clear"/>
              </w:rPr>
              <w:t>（</w:t>
            </w:r>
            <w:r>
              <w:rPr>
                <w:rFonts w:ascii="仿宋" w:hAnsi="仿宋" w:cs="仿宋" w:eastAsia="仿宋"/>
                <w:sz w:val="28"/>
                <w:shd w:fill="FFFFFF" w:val="clear"/>
              </w:rPr>
              <w:t>2）春季或秋季在公共区域等重点单位实施大面积灭鼠工作，解决公共区域与平房住户的鼠患入侵问题。</w:t>
            </w:r>
          </w:p>
          <w:p>
            <w:pPr>
              <w:pStyle w:val="null3"/>
              <w:ind w:firstLine="560"/>
              <w:jc w:val="both"/>
            </w:pPr>
            <w:r>
              <w:rPr>
                <w:rFonts w:ascii="仿宋" w:hAnsi="仿宋" w:cs="仿宋" w:eastAsia="仿宋"/>
                <w:sz w:val="28"/>
                <w:shd w:fill="FFFFFF" w:val="clear"/>
              </w:rPr>
              <w:t>2、建立蟑螂长效防制机制：</w:t>
            </w:r>
          </w:p>
          <w:p>
            <w:pPr>
              <w:pStyle w:val="null3"/>
              <w:ind w:firstLine="560"/>
              <w:jc w:val="both"/>
            </w:pPr>
            <w:r>
              <w:rPr>
                <w:rFonts w:ascii="仿宋" w:hAnsi="仿宋" w:cs="仿宋" w:eastAsia="仿宋"/>
                <w:sz w:val="28"/>
                <w:shd w:fill="FFFFFF" w:val="clear"/>
              </w:rPr>
              <w:t>根据蟑螂生长、繁育特点及孳生环境，定期对机关单位重点单位实施蟑螂精准防制工作。</w:t>
            </w:r>
          </w:p>
          <w:p>
            <w:pPr>
              <w:pStyle w:val="null3"/>
              <w:ind w:firstLine="560"/>
              <w:jc w:val="both"/>
            </w:pPr>
            <w:r>
              <w:rPr>
                <w:rFonts w:ascii="仿宋" w:hAnsi="仿宋" w:cs="仿宋" w:eastAsia="仿宋"/>
                <w:sz w:val="28"/>
                <w:shd w:fill="FFFFFF" w:val="clear"/>
              </w:rPr>
              <w:t>3、建立蚊蝇的长效防制体系：</w:t>
            </w:r>
          </w:p>
          <w:p>
            <w:pPr>
              <w:pStyle w:val="null3"/>
              <w:ind w:firstLine="560"/>
              <w:jc w:val="both"/>
            </w:pPr>
            <w:r>
              <w:rPr>
                <w:rFonts w:ascii="仿宋" w:hAnsi="仿宋" w:cs="仿宋" w:eastAsia="仿宋"/>
                <w:sz w:val="28"/>
                <w:shd w:fill="FFFFFF" w:val="clear"/>
              </w:rPr>
              <w:t>（</w:t>
            </w:r>
            <w:r>
              <w:rPr>
                <w:rFonts w:ascii="仿宋" w:hAnsi="仿宋" w:cs="仿宋" w:eastAsia="仿宋"/>
                <w:sz w:val="28"/>
                <w:shd w:fill="FFFFFF" w:val="clear"/>
              </w:rPr>
              <w:t>1）对防制区域范围内现场的垃圾池点、卫生间墙体和孳生地周边实施滞留喷洒，进行蚊蝇防制工作，有效降低蚊蝇发生密度。</w:t>
            </w:r>
          </w:p>
          <w:p>
            <w:pPr>
              <w:pStyle w:val="null3"/>
              <w:ind w:firstLine="560"/>
              <w:jc w:val="both"/>
            </w:pPr>
            <w:r>
              <w:rPr>
                <w:rFonts w:ascii="仿宋" w:hAnsi="仿宋" w:cs="仿宋" w:eastAsia="仿宋"/>
                <w:sz w:val="28"/>
                <w:shd w:fill="FFFFFF" w:val="clear"/>
              </w:rPr>
              <w:t>（</w:t>
            </w:r>
            <w:r>
              <w:rPr>
                <w:rFonts w:ascii="仿宋" w:hAnsi="仿宋" w:cs="仿宋" w:eastAsia="仿宋"/>
                <w:sz w:val="28"/>
                <w:shd w:fill="FFFFFF" w:val="clear"/>
              </w:rPr>
              <w:t>2）对防制区域范围内单位5米以下绿化带实施绿篱喷洒技术，具体防制频次根据蚊虫发生情况确定，并对蚊孳生地进行孳生地处理。</w:t>
            </w:r>
          </w:p>
          <w:p>
            <w:pPr>
              <w:pStyle w:val="null3"/>
              <w:ind w:firstLine="560"/>
              <w:jc w:val="both"/>
            </w:pPr>
            <w:r>
              <w:rPr>
                <w:rFonts w:ascii="仿宋" w:hAnsi="仿宋" w:cs="仿宋" w:eastAsia="仿宋"/>
                <w:sz w:val="28"/>
                <w:shd w:fill="FFFFFF" w:val="clear"/>
              </w:rPr>
              <w:t>（</w:t>
            </w:r>
            <w:r>
              <w:rPr>
                <w:rFonts w:ascii="仿宋" w:hAnsi="仿宋" w:cs="仿宋" w:eastAsia="仿宋"/>
                <w:sz w:val="28"/>
                <w:shd w:fill="FFFFFF" w:val="clear"/>
              </w:rPr>
              <w:t>3）定期在街道绿化、居民区、垃圾池点、公厕等公共区域孳生地附近，在蝇发生季节吊挂诱蝇袋并实时监测，根据蝇发生密度情况实施滞留喷洒灭蝇工作。</w:t>
            </w:r>
          </w:p>
          <w:p>
            <w:pPr>
              <w:pStyle w:val="null3"/>
              <w:ind w:firstLine="560"/>
              <w:jc w:val="both"/>
            </w:pPr>
            <w:r>
              <w:rPr>
                <w:rFonts w:ascii="仿宋" w:hAnsi="仿宋" w:cs="仿宋" w:eastAsia="仿宋"/>
                <w:sz w:val="28"/>
                <w:shd w:fill="FFFFFF" w:val="clear"/>
              </w:rPr>
              <w:t>（</w:t>
            </w:r>
            <w:r>
              <w:rPr>
                <w:rFonts w:ascii="仿宋" w:hAnsi="仿宋" w:cs="仿宋" w:eastAsia="仿宋"/>
                <w:sz w:val="28"/>
                <w:shd w:fill="FFFFFF" w:val="clear"/>
              </w:rPr>
              <w:t>4）对景观水体、大型积水容器，积水管道井、沙井在蚊虫发生季定期投放生物灭蚊幼制剂，小型器皿包括轮胎等易积水容器定时发动群众做好翻盆倒罐工作，确保持续控制蚊虫密度。</w:t>
            </w:r>
          </w:p>
          <w:p>
            <w:pPr>
              <w:pStyle w:val="null3"/>
              <w:ind w:firstLine="560"/>
              <w:jc w:val="both"/>
            </w:pPr>
            <w:r>
              <w:rPr>
                <w:rFonts w:ascii="仿宋" w:hAnsi="仿宋" w:cs="仿宋" w:eastAsia="仿宋"/>
                <w:sz w:val="28"/>
                <w:shd w:fill="FFFFFF" w:val="clear"/>
              </w:rPr>
              <w:t>（</w:t>
            </w:r>
            <w:r>
              <w:rPr>
                <w:rFonts w:ascii="仿宋" w:hAnsi="仿宋" w:cs="仿宋" w:eastAsia="仿宋"/>
                <w:sz w:val="28"/>
                <w:shd w:fill="FFFFFF" w:val="clear"/>
              </w:rPr>
              <w:t>5）若监测发现有成蚊成蝇发生时，启动大型车载超低容量喷雾器做空间灭蚊蝇工作，迅速有效降低蚊蝇及其他飞虫密度。</w:t>
            </w:r>
          </w:p>
          <w:p>
            <w:pPr>
              <w:pStyle w:val="null3"/>
              <w:spacing w:before="255" w:after="255"/>
              <w:ind w:left="285"/>
              <w:jc w:val="left"/>
              <w:outlineLvl w:val="1"/>
            </w:pPr>
            <w:r>
              <w:rPr>
                <w:rFonts w:ascii="仿宋" w:hAnsi="仿宋" w:cs="仿宋" w:eastAsia="仿宋"/>
                <w:b/>
                <w:sz w:val="28"/>
              </w:rPr>
              <w:t>六、消杀总轮次</w:t>
            </w:r>
          </w:p>
          <w:p>
            <w:pPr>
              <w:pStyle w:val="null3"/>
              <w:spacing w:before="255" w:after="255"/>
              <w:ind w:left="285"/>
              <w:jc w:val="left"/>
              <w:outlineLvl w:val="1"/>
            </w:pPr>
            <w:r>
              <w:rPr>
                <w:rFonts w:ascii="仿宋" w:hAnsi="仿宋" w:cs="仿宋" w:eastAsia="仿宋"/>
                <w:b/>
                <w:sz w:val="28"/>
                <w:shd w:fill="FFFFFF" w:val="clear"/>
              </w:rPr>
              <w:t>消杀平均轮次</w:t>
            </w:r>
            <w:r>
              <w:rPr>
                <w:rFonts w:ascii="仿宋" w:hAnsi="仿宋" w:cs="仿宋" w:eastAsia="仿宋"/>
                <w:b/>
                <w:sz w:val="28"/>
                <w:shd w:fill="FFFFFF" w:val="clear"/>
              </w:rPr>
              <w:t>≥4次。</w:t>
            </w:r>
          </w:p>
          <w:p>
            <w:pPr>
              <w:pStyle w:val="null3"/>
              <w:jc w:val="both"/>
            </w:pPr>
            <w:r>
              <w:rPr>
                <w:rFonts w:ascii="仿宋" w:hAnsi="仿宋" w:cs="仿宋" w:eastAsia="仿宋"/>
                <w:sz w:val="28"/>
              </w:rPr>
              <w:t>二标段点位明细</w:t>
            </w:r>
          </w:p>
          <w:tbl>
            <w:tblPr>
              <w:tblBorders>
                <w:top w:val="none" w:color="000000" w:sz="4"/>
                <w:left w:val="none" w:color="000000" w:sz="4"/>
                <w:bottom w:val="none" w:color="000000" w:sz="4"/>
                <w:right w:val="none" w:color="000000" w:sz="4"/>
                <w:insideH w:val="none"/>
                <w:insideV w:val="none"/>
              </w:tblBorders>
            </w:tblPr>
            <w:tblGrid>
              <w:gridCol w:w="454"/>
              <w:gridCol w:w="4"/>
              <w:gridCol w:w="4"/>
              <w:gridCol w:w="2090"/>
            </w:tblGrid>
            <w:tr>
              <w:tc>
                <w:tcPr>
                  <w:tcW w:type="dxa" w:w="255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sz w:val="28"/>
                    </w:rPr>
                    <w:t>1、公共绿地</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 w:hAnsi="仿宋" w:cs="仿宋" w:eastAsia="仿宋"/>
                      <w:sz w:val="28"/>
                    </w:rPr>
                    <w:t>1</w:t>
                  </w:r>
                </w:p>
              </w:tc>
              <w:tc>
                <w:tcPr>
                  <w:tcW w:type="dxa" w:w="209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 w:hAnsi="仿宋" w:cs="仿宋" w:eastAsia="仿宋"/>
                      <w:sz w:val="28"/>
                    </w:rPr>
                    <w:t>新区汽车总站南侧、包茂高速桥下、玉皇阁村东</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 w:hAnsi="仿宋" w:cs="仿宋" w:eastAsia="仿宋"/>
                      <w:color w:val="000000"/>
                      <w:sz w:val="28"/>
                    </w:rPr>
                    <w:t>2</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 w:hAnsi="仿宋" w:cs="仿宋" w:eastAsia="仿宋"/>
                      <w:sz w:val="28"/>
                    </w:rPr>
                    <w:t>长丰北路中间绿化带</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 w:hAnsi="仿宋" w:cs="仿宋" w:eastAsia="仿宋"/>
                      <w:color w:val="000000"/>
                      <w:sz w:val="28"/>
                    </w:rPr>
                    <w:t>3</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 w:hAnsi="仿宋" w:cs="仿宋" w:eastAsia="仿宋"/>
                      <w:sz w:val="28"/>
                    </w:rPr>
                    <w:t>华原西路</w:t>
                  </w:r>
                  <w:r>
                    <w:rPr>
                      <w:rFonts w:ascii="仿宋" w:hAnsi="仿宋" w:cs="仿宋" w:eastAsia="仿宋"/>
                      <w:sz w:val="28"/>
                    </w:rPr>
                    <w:t>+华原东道的路中间两边绿化带</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 w:hAnsi="仿宋" w:cs="仿宋" w:eastAsia="仿宋"/>
                      <w:color w:val="000000"/>
                      <w:sz w:val="28"/>
                    </w:rPr>
                    <w:t>4</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 w:hAnsi="仿宋" w:cs="仿宋" w:eastAsia="仿宋"/>
                      <w:sz w:val="28"/>
                    </w:rPr>
                    <w:t>正阳路盘旋路路边绿化带</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 w:hAnsi="仿宋" w:cs="仿宋" w:eastAsia="仿宋"/>
                      <w:color w:val="000000"/>
                      <w:sz w:val="28"/>
                    </w:rPr>
                    <w:t>5</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 w:hAnsi="仿宋" w:cs="仿宋" w:eastAsia="仿宋"/>
                      <w:sz w:val="28"/>
                    </w:rPr>
                    <w:t>华夏路、华夏南道、新纪元大道路中间、路两边绿化带</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 w:hAnsi="仿宋" w:cs="仿宋" w:eastAsia="仿宋"/>
                      <w:color w:val="000000"/>
                      <w:sz w:val="28"/>
                    </w:rPr>
                    <w:t>6</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 w:hAnsi="仿宋" w:cs="仿宋" w:eastAsia="仿宋"/>
                      <w:sz w:val="28"/>
                    </w:rPr>
                    <w:t>长虹北路至北环路路边绿化带</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b/>
                      <w:sz w:val="28"/>
                    </w:rPr>
                    <w:t>2、居民小区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w:t>
                  </w:r>
                </w:p>
              </w:tc>
              <w:tc>
                <w:tcPr>
                  <w:tcW w:type="dxa" w:w="209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飞鸿小区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新时代小区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祥和居小区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4</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荣盛广场小区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5</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质监局家属院</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6</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药监局家属院</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7</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长线局小区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8</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御锦澜庭小区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9</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枫林小区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10</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人行小区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11</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阳光大厦</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12</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焦化小区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13</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恒盛花园小区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14</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中央公元</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15</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龙凤佳城小区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16</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鑫苑雅居小区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17</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华荣小区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18</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燃气家属楼小区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19</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广源小区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20</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自然资源局家属院</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21</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安全监察局家属楼</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22</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七彩国际小区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23</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海林御苑小区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24</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中羿家小区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25</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农发行家属楼</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26</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人防办家属楼</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27</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红旗家属楼</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28</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60户居民区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29</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沮河路居民区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30</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照金矿家属楼</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31</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农机家属楼</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32</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工商、地税家属楼</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33</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秀房沟家属楼</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34</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华原矿家属楼</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35</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正大华庭小区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36</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崇文街</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37</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金谟小区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38</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银座小区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39</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电信小区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40</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人寿佳苑</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41</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傅氏阳光小区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42</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卫计局家属院</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43</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国安小区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44</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气象局小区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45</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现代城</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46</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农科中心</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47</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税务新家园</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48</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祥瑞小区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49</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长丰尚城</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50</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锦绣园</w:t>
                  </w:r>
                  <w:r>
                    <w:rPr>
                      <w:rFonts w:ascii="仿宋" w:hAnsi="仿宋" w:cs="仿宋" w:eastAsia="仿宋"/>
                      <w:sz w:val="28"/>
                    </w:rPr>
                    <w:t>A区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51</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锦绣园</w:t>
                  </w:r>
                  <w:r>
                    <w:rPr>
                      <w:rFonts w:ascii="仿宋" w:hAnsi="仿宋" w:cs="仿宋" w:eastAsia="仿宋"/>
                      <w:sz w:val="28"/>
                    </w:rPr>
                    <w:t>B区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52</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锦绣园</w:t>
                  </w:r>
                  <w:r>
                    <w:rPr>
                      <w:rFonts w:ascii="仿宋" w:hAnsi="仿宋" w:cs="仿宋" w:eastAsia="仿宋"/>
                      <w:sz w:val="28"/>
                    </w:rPr>
                    <w:t>C区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53</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御璟名第小区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54</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龙记观园小区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55</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正阳府小区</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56</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御湖壹号</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57</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绿地不夜城</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b/>
                      <w:sz w:val="28"/>
                    </w:rPr>
                    <w:t>3、机关单位</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1</w:t>
                  </w:r>
                </w:p>
              </w:tc>
              <w:tc>
                <w:tcPr>
                  <w:tcW w:type="dxa" w:w="209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铜川市市委</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2</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铜川市政府</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3</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铜川市财政局</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4</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铜川日报社</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5</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铜川政务</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sz w:val="28"/>
                    </w:rPr>
                    <w:t>4、人工湖</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w:t>
                  </w:r>
                </w:p>
              </w:tc>
              <w:tc>
                <w:tcPr>
                  <w:tcW w:type="dxa" w:w="209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人工湖</w:t>
                  </w:r>
                  <w:r>
                    <w:rPr>
                      <w:rFonts w:ascii="仿宋" w:hAnsi="仿宋" w:cs="仿宋" w:eastAsia="仿宋"/>
                      <w:sz w:val="28"/>
                    </w:rPr>
                    <w:t>1（观唐里小区附近）</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w:t>
                  </w:r>
                </w:p>
              </w:tc>
              <w:tc>
                <w:tcPr>
                  <w:tcW w:type="dxa" w:w="20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人工湖</w:t>
                  </w:r>
                  <w:r>
                    <w:rPr>
                      <w:rFonts w:ascii="仿宋" w:hAnsi="仿宋" w:cs="仿宋" w:eastAsia="仿宋"/>
                      <w:sz w:val="28"/>
                    </w:rPr>
                    <w:t>2（锦唐府小区附近）</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sz w:val="28"/>
                    </w:rPr>
                    <w:t>5、公园、广场</w:t>
                  </w:r>
                </w:p>
              </w:tc>
            </w:tr>
            <w:tr>
              <w:tc>
                <w:tcPr>
                  <w:tcW w:type="dxa" w:w="4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1</w:t>
                  </w:r>
                </w:p>
              </w:tc>
              <w:tc>
                <w:tcPr>
                  <w:tcW w:type="dxa" w:w="209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新区中心公园</w:t>
                  </w:r>
                </w:p>
              </w:tc>
            </w:tr>
            <w:tr>
              <w:tc>
                <w:tcPr>
                  <w:tcW w:type="dxa" w:w="4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2</w:t>
                  </w:r>
                </w:p>
              </w:tc>
              <w:tc>
                <w:tcPr>
                  <w:tcW w:type="dxa" w:w="20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大唐养生园</w:t>
                  </w:r>
                </w:p>
              </w:tc>
            </w:tr>
            <w:tr>
              <w:tc>
                <w:tcPr>
                  <w:tcW w:type="dxa" w:w="46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8"/>
                    </w:rPr>
                    <w:t>3</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铜川植物园</w:t>
                  </w:r>
                </w:p>
              </w:tc>
            </w:tr>
            <w:tr>
              <w:tc>
                <w:tcPr>
                  <w:tcW w:type="dxa" w:w="46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4</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阳光广场</w:t>
                  </w:r>
                </w:p>
              </w:tc>
            </w:tr>
            <w:tr>
              <w:tc>
                <w:tcPr>
                  <w:tcW w:type="dxa" w:w="46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5</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书画公园</w:t>
                  </w:r>
                </w:p>
              </w:tc>
            </w:tr>
            <w:tr>
              <w:tc>
                <w:tcPr>
                  <w:tcW w:type="dxa" w:w="46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6</w:t>
                  </w:r>
                </w:p>
              </w:tc>
              <w:tc>
                <w:tcPr>
                  <w:tcW w:type="dxa" w:w="2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8"/>
                    </w:rPr>
                    <w:t>城市运动公园</w:t>
                  </w:r>
                </w:p>
              </w:tc>
            </w:tr>
          </w:tbl>
          <w:p>
            <w:pPr>
              <w:pStyle w:val="null3"/>
              <w:jc w:val="both"/>
            </w:pPr>
          </w:p>
        </w:tc>
      </w:tr>
    </w:tbl>
    <w:p>
      <w:pPr>
        <w:pStyle w:val="null3"/>
        <w:outlineLvl w:val="3"/>
      </w:pPr>
      <w:r>
        <w:rPr>
          <w:b/>
          <w:sz w:val="24"/>
        </w:rPr>
        <w:t>3.2.3人员配置要求</w:t>
      </w:r>
    </w:p>
    <w:p>
      <w:pPr>
        <w:pStyle w:val="null3"/>
      </w:pPr>
      <w:r>
        <w:rPr/>
        <w:t>采购包1：</w:t>
      </w:r>
    </w:p>
    <w:p>
      <w:pPr>
        <w:pStyle w:val="null3"/>
      </w:pPr>
      <w:r>
        <w:rPr/>
        <w:t>投标人根据自身实力配置相关人员。</w:t>
      </w:r>
    </w:p>
    <w:p>
      <w:pPr>
        <w:pStyle w:val="null3"/>
      </w:pPr>
      <w:r>
        <w:rPr/>
        <w:t>采购包2：</w:t>
      </w:r>
    </w:p>
    <w:p>
      <w:pPr>
        <w:pStyle w:val="null3"/>
      </w:pPr>
      <w:r>
        <w:rPr/>
        <w:t>投标人根据自身实力配置相关人员。</w:t>
      </w:r>
    </w:p>
    <w:p>
      <w:pPr>
        <w:pStyle w:val="null3"/>
        <w:outlineLvl w:val="3"/>
      </w:pPr>
      <w:r>
        <w:rPr>
          <w:b/>
          <w:sz w:val="24"/>
        </w:rPr>
        <w:t>3.2.4设施设备配置要求</w:t>
      </w:r>
    </w:p>
    <w:p>
      <w:pPr>
        <w:pStyle w:val="null3"/>
      </w:pPr>
      <w:r>
        <w:rPr/>
        <w:t>采购包1：</w:t>
      </w:r>
    </w:p>
    <w:p>
      <w:pPr>
        <w:pStyle w:val="null3"/>
      </w:pPr>
      <w:r>
        <w:rPr/>
        <w:t>投标人根据自身实力配置设施设备。</w:t>
      </w:r>
    </w:p>
    <w:p>
      <w:pPr>
        <w:pStyle w:val="null3"/>
      </w:pPr>
      <w:r>
        <w:rPr/>
        <w:t>采购包2：</w:t>
      </w:r>
    </w:p>
    <w:p>
      <w:pPr>
        <w:pStyle w:val="null3"/>
      </w:pPr>
      <w:r>
        <w:rPr/>
        <w:t>投标人根据自身实力配置设施设备。</w:t>
      </w:r>
    </w:p>
    <w:p>
      <w:pPr>
        <w:pStyle w:val="null3"/>
        <w:outlineLvl w:val="3"/>
      </w:pPr>
      <w:r>
        <w:rPr>
          <w:b/>
          <w:sz w:val="24"/>
        </w:rPr>
        <w:t>3.2.5其他要求</w:t>
      </w:r>
    </w:p>
    <w:p>
      <w:pPr>
        <w:pStyle w:val="null3"/>
      </w:pPr>
      <w:r>
        <w:rPr/>
        <w:t>采购包1：</w:t>
      </w:r>
    </w:p>
    <w:p>
      <w:pPr>
        <w:pStyle w:val="null3"/>
      </w:pPr>
      <w:r>
        <w:rPr/>
        <w:t>满足采购人提出的其他要求。</w:t>
      </w:r>
    </w:p>
    <w:p>
      <w:pPr>
        <w:pStyle w:val="null3"/>
      </w:pPr>
      <w:r>
        <w:rPr/>
        <w:t>采购包2：</w:t>
      </w:r>
    </w:p>
    <w:p>
      <w:pPr>
        <w:pStyle w:val="null3"/>
      </w:pPr>
      <w:r>
        <w:rPr/>
        <w:t>满足采购人提出的其他要求。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6个月</w:t>
      </w:r>
    </w:p>
    <w:p>
      <w:pPr>
        <w:pStyle w:val="null3"/>
      </w:pPr>
      <w:r>
        <w:rPr/>
        <w:t>采购包2：</w:t>
      </w:r>
    </w:p>
    <w:p>
      <w:pPr>
        <w:pStyle w:val="null3"/>
      </w:pPr>
      <w:r>
        <w:rPr/>
        <w:t>6个月</w:t>
      </w:r>
    </w:p>
    <w:p>
      <w:pPr>
        <w:pStyle w:val="null3"/>
        <w:outlineLvl w:val="3"/>
      </w:pPr>
      <w:r>
        <w:rPr>
          <w:b/>
          <w:sz w:val="24"/>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满足采购人要求，确保本项目验收通过。</w:t>
      </w:r>
    </w:p>
    <w:p>
      <w:pPr>
        <w:pStyle w:val="null3"/>
      </w:pPr>
      <w:r>
        <w:rPr/>
        <w:t>采购包2：</w:t>
      </w:r>
    </w:p>
    <w:p>
      <w:pPr>
        <w:pStyle w:val="null3"/>
      </w:pPr>
      <w:r>
        <w:rPr/>
        <w:t>满足采购人要求，确保本项目验收通过。</w:t>
      </w:r>
    </w:p>
    <w:p>
      <w:pPr>
        <w:pStyle w:val="null3"/>
        <w:outlineLvl w:val="3"/>
      </w:pPr>
      <w:r>
        <w:rPr>
          <w:b/>
          <w:sz w:val="24"/>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w:t>
      </w:r>
      <w:r>
        <w:rPr/>
        <w:t xml:space="preserve"> ，达到付款条件起 </w:t>
      </w:r>
      <w:r>
        <w:rPr/>
        <w:t>15</w:t>
      </w:r>
      <w:r>
        <w:rPr/>
        <w:t xml:space="preserve"> 日内，支付合同总金额的 </w:t>
      </w:r>
      <w:r>
        <w:rPr/>
        <w:t>30.00</w:t>
      </w:r>
      <w:r>
        <w:rPr/>
        <w:t>%。</w:t>
      </w:r>
    </w:p>
    <w:p>
      <w:pPr>
        <w:pStyle w:val="null3"/>
      </w:pPr>
      <w:r>
        <w:rPr/>
        <w:t>采购包1：</w:t>
      </w:r>
      <w:r>
        <w:rPr/>
        <w:t xml:space="preserve"> 付款条件说明： </w:t>
      </w:r>
      <w:r>
        <w:rPr/>
        <w:t>通过采购人验收</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 xml:space="preserve">完成本项目后续所有的服务内容，满足采购人要求 </w:t>
      </w:r>
      <w:r>
        <w:rPr/>
        <w:t xml:space="preserve"> ，达到付款条件起 </w:t>
      </w:r>
      <w:r>
        <w:rPr/>
        <w:t>15</w:t>
      </w:r>
      <w:r>
        <w:rPr/>
        <w:t xml:space="preserve"> 日内，支付合同总金额的 </w:t>
      </w:r>
      <w:r>
        <w:rPr/>
        <w:t>30.00</w:t>
      </w:r>
      <w:r>
        <w:rPr/>
        <w:t>%。</w:t>
      </w:r>
    </w:p>
    <w:p>
      <w:pPr>
        <w:pStyle w:val="null3"/>
      </w:pPr>
      <w:r>
        <w:rPr/>
        <w:t>采购包2：</w:t>
      </w:r>
      <w:r>
        <w:rPr/>
        <w:t xml:space="preserve"> 付款条件说明： </w:t>
      </w:r>
      <w:r>
        <w:rPr/>
        <w:t>合同签订</w:t>
      </w:r>
      <w:r>
        <w:rPr/>
        <w:t xml:space="preserve"> ，达到付款条件起 </w:t>
      </w:r>
      <w:r>
        <w:rPr/>
        <w:t>15</w:t>
      </w:r>
      <w:r>
        <w:rPr/>
        <w:t xml:space="preserve"> 日内，支付合同总金额的 </w:t>
      </w:r>
      <w:r>
        <w:rPr/>
        <w:t>30.00</w:t>
      </w:r>
      <w:r>
        <w:rPr/>
        <w:t>%。</w:t>
      </w:r>
    </w:p>
    <w:p>
      <w:pPr>
        <w:pStyle w:val="null3"/>
      </w:pPr>
      <w:r>
        <w:rPr/>
        <w:t>采购包2：</w:t>
      </w:r>
      <w:r>
        <w:rPr/>
        <w:t xml:space="preserve"> 付款条件说明： </w:t>
      </w:r>
      <w:r>
        <w:rPr/>
        <w:t>通过采购人验收</w:t>
      </w:r>
      <w:r>
        <w:rPr/>
        <w:t xml:space="preserve"> ，达到付款条件起 </w:t>
      </w:r>
      <w:r>
        <w:rPr/>
        <w:t>15</w:t>
      </w:r>
      <w:r>
        <w:rPr/>
        <w:t xml:space="preserve"> 日内，支付合同总金额的 </w:t>
      </w:r>
      <w:r>
        <w:rPr/>
        <w:t>40.00</w:t>
      </w:r>
      <w:r>
        <w:rPr/>
        <w:t>%。</w:t>
      </w:r>
    </w:p>
    <w:p>
      <w:pPr>
        <w:pStyle w:val="null3"/>
      </w:pPr>
      <w:r>
        <w:rPr/>
        <w:t>采购包2：</w:t>
      </w:r>
      <w:r>
        <w:rPr/>
        <w:t xml:space="preserve"> 付款条件说明： </w:t>
      </w:r>
      <w:r>
        <w:rPr/>
        <w:t>完成本项目后续所有的服务内容，满足采购人要求</w:t>
      </w:r>
      <w:r>
        <w:rPr/>
        <w:t xml:space="preserve"> ，达到付款条件起 </w:t>
      </w:r>
      <w:r>
        <w:rPr/>
        <w:t>15</w:t>
      </w:r>
      <w:r>
        <w:rPr/>
        <w:t xml:space="preserve"> 日内，支付合同总金额的 </w:t>
      </w:r>
      <w:r>
        <w:rPr/>
        <w:t>30.00</w:t>
      </w:r>
      <w:r>
        <w:rPr/>
        <w:t>%。</w:t>
      </w:r>
    </w:p>
    <w:p>
      <w:pPr>
        <w:pStyle w:val="null3"/>
        <w:outlineLvl w:val="3"/>
      </w:pPr>
      <w:r>
        <w:rPr>
          <w:b/>
          <w:sz w:val="24"/>
        </w:rPr>
        <w:t>3.3.6违约责任与解决争议的方法</w:t>
      </w:r>
    </w:p>
    <w:p>
      <w:pPr>
        <w:pStyle w:val="null3"/>
      </w:pPr>
      <w:r>
        <w:rPr/>
        <w:t>采购包1：</w:t>
      </w:r>
    </w:p>
    <w:p>
      <w:pPr>
        <w:pStyle w:val="null3"/>
      </w:pPr>
      <w:r>
        <w:rPr/>
        <w:t>合同执行中发生争议的，当事人双方应协商解决。协商达不成一致时，可向同级行政仲裁机关申请仲裁。</w:t>
      </w:r>
    </w:p>
    <w:p>
      <w:pPr>
        <w:pStyle w:val="null3"/>
      </w:pPr>
      <w:r>
        <w:rPr/>
        <w:t>采购包2：</w:t>
      </w:r>
    </w:p>
    <w:p>
      <w:pPr>
        <w:pStyle w:val="null3"/>
      </w:pPr>
      <w:r>
        <w:rPr/>
        <w:t>合同执行中发生争议的，当事人双方应协商解决。协商达不成一致时，可向同级行政仲裁机关申请仲裁。</w:t>
      </w:r>
    </w:p>
    <w:p>
      <w:pPr>
        <w:pStyle w:val="null3"/>
        <w:jc w:val="left"/>
        <w:outlineLvl w:val="2"/>
      </w:pPr>
      <w:r>
        <w:rPr>
          <w:b/>
          <w:sz w:val="28"/>
        </w:rPr>
        <w:t>3.5其他要求</w:t>
      </w:r>
    </w:p>
    <w:p>
      <w:pPr>
        <w:pStyle w:val="null3"/>
      </w:pPr>
      <w:r>
        <w:rPr/>
        <w:t>/</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投标文件封面 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投标文件封面 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投标文件封面 投标人应提交的相关资格证明材料 供应商认为需要提供的其他内容</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提供具有财务审计资质单位出具的2022或2023年度财务审计报告或投标前六个月内其基本账户银行出具的资信证明。</w:t>
            </w:r>
          </w:p>
        </w:tc>
        <w:tc>
          <w:tcPr>
            <w:tcW w:type="dxa" w:w="1661"/>
          </w:tcPr>
          <w:p>
            <w:pPr>
              <w:pStyle w:val="null3"/>
            </w:pPr>
            <w:r>
              <w:rPr/>
              <w:t>投标人应提交的相关资格证明材料 供应商认为需要提供的其他内容</w:t>
            </w:r>
          </w:p>
        </w:tc>
      </w:tr>
      <w:tr>
        <w:tc>
          <w:tcPr>
            <w:tcW w:type="dxa" w:w="831"/>
          </w:tcPr>
          <w:p>
            <w:pPr>
              <w:pStyle w:val="null3"/>
            </w:pPr>
            <w:r>
              <w:rPr/>
              <w:t>3</w:t>
            </w:r>
          </w:p>
        </w:tc>
        <w:tc>
          <w:tcPr>
            <w:tcW w:type="dxa" w:w="2492"/>
          </w:tcPr>
          <w:p>
            <w:pPr>
              <w:pStyle w:val="null3"/>
            </w:pPr>
            <w:r>
              <w:rPr/>
              <w:t>税收交纳证明</w:t>
            </w:r>
          </w:p>
        </w:tc>
        <w:tc>
          <w:tcPr>
            <w:tcW w:type="dxa" w:w="3322"/>
          </w:tcPr>
          <w:p>
            <w:pPr>
              <w:pStyle w:val="null3"/>
            </w:pPr>
            <w:r>
              <w:rPr/>
              <w:t>提供截止至投标时间前六个月内任意二个月的缴费凭据（依法免税的供应商应提供相关文件证明）。</w:t>
            </w:r>
          </w:p>
        </w:tc>
        <w:tc>
          <w:tcPr>
            <w:tcW w:type="dxa" w:w="1661"/>
          </w:tcPr>
          <w:p>
            <w:pPr>
              <w:pStyle w:val="null3"/>
            </w:pPr>
            <w:r>
              <w:rPr/>
              <w:t>投标人应提交的相关资格证明材料 供应商认为需要提供的其他内容</w:t>
            </w:r>
          </w:p>
        </w:tc>
      </w:tr>
      <w:tr>
        <w:tc>
          <w:tcPr>
            <w:tcW w:type="dxa" w:w="831"/>
          </w:tcPr>
          <w:p>
            <w:pPr>
              <w:pStyle w:val="null3"/>
            </w:pPr>
            <w:r>
              <w:rPr/>
              <w:t>4</w:t>
            </w:r>
          </w:p>
        </w:tc>
        <w:tc>
          <w:tcPr>
            <w:tcW w:type="dxa" w:w="2492"/>
          </w:tcPr>
          <w:p>
            <w:pPr>
              <w:pStyle w:val="null3"/>
            </w:pPr>
            <w:r>
              <w:rPr/>
              <w:t>社会保障资金交纳证明</w:t>
            </w:r>
          </w:p>
        </w:tc>
        <w:tc>
          <w:tcPr>
            <w:tcW w:type="dxa" w:w="3322"/>
          </w:tcPr>
          <w:p>
            <w:pPr>
              <w:pStyle w:val="null3"/>
            </w:pPr>
            <w:r>
              <w:rPr/>
              <w:t>提供截止至投标时间前六个月内任意二个月的社保缴费凭据或社保机构开具的社会保险参保缴费情况证明（依法不需要交纳社会保障资金的供应商应提供相关证明）。</w:t>
            </w:r>
          </w:p>
        </w:tc>
        <w:tc>
          <w:tcPr>
            <w:tcW w:type="dxa" w:w="1661"/>
          </w:tcPr>
          <w:p>
            <w:pPr>
              <w:pStyle w:val="null3"/>
            </w:pPr>
            <w:r>
              <w:rPr/>
              <w:t>投标人应提交的相关资格证明材料 供应商认为需要提供的其他内容</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w:t>
            </w:r>
          </w:p>
        </w:tc>
        <w:tc>
          <w:tcPr>
            <w:tcW w:type="dxa" w:w="1661"/>
          </w:tcPr>
          <w:p>
            <w:pPr>
              <w:pStyle w:val="null3"/>
            </w:pPr>
            <w:r>
              <w:rPr/>
              <w:t>投标人应提交的相关资格证明材料 供应商认为需要提供的其他内容</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法定代表人参与投标时需提供法定代表人身份证原件及复印件；被授权人参与投标时需提供法定代表人授权委托书</w:t>
            </w:r>
          </w:p>
        </w:tc>
        <w:tc>
          <w:tcPr>
            <w:tcW w:type="dxa" w:w="3322"/>
          </w:tcPr>
          <w:p>
            <w:pPr>
              <w:pStyle w:val="null3"/>
            </w:pPr>
            <w:r>
              <w:rPr/>
              <w:t>法定代表人参与投标时需提供法定代表人身份证原件及复印件；被授权人参与投标时需提供法定代表人授权委托书。</w:t>
            </w:r>
          </w:p>
        </w:tc>
        <w:tc>
          <w:tcPr>
            <w:tcW w:type="dxa" w:w="1661"/>
          </w:tcPr>
          <w:p>
            <w:pPr>
              <w:pStyle w:val="null3"/>
            </w:pPr>
            <w:r>
              <w:rPr/>
              <w:t>法定代表人身份证明及授权委托书 服务内容及服务邀请应答表 投标人应提交的相关资格证明材料</w:t>
            </w:r>
          </w:p>
        </w:tc>
      </w:tr>
      <w:tr>
        <w:tc>
          <w:tcPr>
            <w:tcW w:type="dxa" w:w="831"/>
          </w:tcPr>
          <w:p>
            <w:pPr>
              <w:pStyle w:val="null3"/>
            </w:pPr>
            <w:r>
              <w:rPr/>
              <w:t>8</w:t>
            </w:r>
          </w:p>
        </w:tc>
        <w:tc>
          <w:tcPr>
            <w:tcW w:type="dxa" w:w="249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投标人应提交的相关资格证明材料 供应商认为需要提供的其他内容</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投标文件封面 投标人应提交的相关资格证明材料 供应商认为需要提供的其他内容</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提供具有财务审计资质单位出具的2022或2023年度财务审计报告或投标前六个月内其基本账户银行出具的资信证明；</w:t>
            </w:r>
          </w:p>
        </w:tc>
        <w:tc>
          <w:tcPr>
            <w:tcW w:type="dxa" w:w="1661"/>
          </w:tcPr>
          <w:p>
            <w:pPr>
              <w:pStyle w:val="null3"/>
            </w:pPr>
            <w:r>
              <w:rPr/>
              <w:t>投标人应提交的相关资格证明材料 供应商认为需要提供的其他内容</w:t>
            </w:r>
          </w:p>
        </w:tc>
      </w:tr>
      <w:tr>
        <w:tc>
          <w:tcPr>
            <w:tcW w:type="dxa" w:w="831"/>
          </w:tcPr>
          <w:p>
            <w:pPr>
              <w:pStyle w:val="null3"/>
            </w:pPr>
            <w:r>
              <w:rPr/>
              <w:t>3</w:t>
            </w:r>
          </w:p>
        </w:tc>
        <w:tc>
          <w:tcPr>
            <w:tcW w:type="dxa" w:w="2492"/>
          </w:tcPr>
          <w:p>
            <w:pPr>
              <w:pStyle w:val="null3"/>
            </w:pPr>
            <w:r>
              <w:rPr/>
              <w:t>税收交纳证明</w:t>
            </w:r>
          </w:p>
        </w:tc>
        <w:tc>
          <w:tcPr>
            <w:tcW w:type="dxa" w:w="3322"/>
          </w:tcPr>
          <w:p>
            <w:pPr>
              <w:pStyle w:val="null3"/>
            </w:pPr>
            <w:r>
              <w:rPr/>
              <w:t>提供截止至投标时间前六个月内任意二个月的缴费凭据；（依法免税的供应商应提供相关文件证明）；</w:t>
            </w:r>
          </w:p>
        </w:tc>
        <w:tc>
          <w:tcPr>
            <w:tcW w:type="dxa" w:w="1661"/>
          </w:tcPr>
          <w:p>
            <w:pPr>
              <w:pStyle w:val="null3"/>
            </w:pPr>
            <w:r>
              <w:rPr/>
              <w:t>投标人应提交的相关资格证明材料 供应商认为需要提供的其他内容</w:t>
            </w:r>
          </w:p>
        </w:tc>
      </w:tr>
      <w:tr>
        <w:tc>
          <w:tcPr>
            <w:tcW w:type="dxa" w:w="831"/>
          </w:tcPr>
          <w:p>
            <w:pPr>
              <w:pStyle w:val="null3"/>
            </w:pPr>
            <w:r>
              <w:rPr/>
              <w:t>4</w:t>
            </w:r>
          </w:p>
        </w:tc>
        <w:tc>
          <w:tcPr>
            <w:tcW w:type="dxa" w:w="2492"/>
          </w:tcPr>
          <w:p>
            <w:pPr>
              <w:pStyle w:val="null3"/>
            </w:pPr>
            <w:r>
              <w:rPr/>
              <w:t>社会保障资金交纳证明</w:t>
            </w:r>
          </w:p>
        </w:tc>
        <w:tc>
          <w:tcPr>
            <w:tcW w:type="dxa" w:w="3322"/>
          </w:tcPr>
          <w:p>
            <w:pPr>
              <w:pStyle w:val="null3"/>
            </w:pPr>
            <w:r>
              <w:rPr/>
              <w:t>提供截止至投标时间前六个月内任意二个月的社保缴费凭据或社保机构开具的社会保险参保缴费情况证明；（依法不需要交纳社会保障资金的供应商应提供相关证明）；</w:t>
            </w:r>
          </w:p>
        </w:tc>
        <w:tc>
          <w:tcPr>
            <w:tcW w:type="dxa" w:w="1661"/>
          </w:tcPr>
          <w:p>
            <w:pPr>
              <w:pStyle w:val="null3"/>
            </w:pPr>
            <w:r>
              <w:rPr/>
              <w:t>投标人应提交的相关资格证明材料 供应商认为需要提供的其他内容</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投标人应提交的相关资格证明材料 供应商认为需要提供的其他内容</w:t>
            </w:r>
          </w:p>
        </w:tc>
      </w:tr>
      <w:tr>
        <w:tc>
          <w:tcPr>
            <w:tcW w:type="dxa" w:w="831"/>
          </w:tcPr>
          <w:p>
            <w:pPr>
              <w:pStyle w:val="null3"/>
            </w:pPr>
            <w:r>
              <w:rPr/>
              <w:t>7</w:t>
            </w:r>
          </w:p>
        </w:tc>
        <w:tc>
          <w:tcPr>
            <w:tcW w:type="dxa" w:w="2492"/>
          </w:tcPr>
          <w:p>
            <w:pPr>
              <w:pStyle w:val="null3"/>
            </w:pPr>
            <w:r>
              <w:rPr/>
              <w:t>法定代表人参与投标时需提供法定代表人身份证原件及复印件；被授权人参与投标时需提供法定代表人授权委托书；</w:t>
            </w:r>
          </w:p>
        </w:tc>
        <w:tc>
          <w:tcPr>
            <w:tcW w:type="dxa" w:w="3322"/>
          </w:tcPr>
          <w:p>
            <w:pPr>
              <w:pStyle w:val="null3"/>
            </w:pPr>
            <w:r>
              <w:rPr/>
              <w:t>法定代表人参与投标时需提供法定代表人身份证原件及复印件；被授权人参与投标时需提供法定代表人授权委托书；</w:t>
            </w:r>
          </w:p>
        </w:tc>
        <w:tc>
          <w:tcPr>
            <w:tcW w:type="dxa" w:w="1661"/>
          </w:tcPr>
          <w:p>
            <w:pPr>
              <w:pStyle w:val="null3"/>
            </w:pPr>
            <w:r>
              <w:rPr/>
              <w:t>法定代表人身份证明及授权委托书 投标人应提交的相关资格证明材料 供应商认为需要提供的其他内容</w:t>
            </w:r>
          </w:p>
        </w:tc>
      </w:tr>
      <w:tr>
        <w:tc>
          <w:tcPr>
            <w:tcW w:type="dxa" w:w="831"/>
          </w:tcPr>
          <w:p>
            <w:pPr>
              <w:pStyle w:val="null3"/>
            </w:pPr>
            <w:r>
              <w:rPr/>
              <w:t>8</w:t>
            </w:r>
          </w:p>
        </w:tc>
        <w:tc>
          <w:tcPr>
            <w:tcW w:type="dxa" w:w="249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投标人应提交的相关资格证明材料 供应商认为需要提供的其他内容</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 供应商认为需要提供的其他内容</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 供应商认为需要提供的其他内容</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5.3评标方法</w:t>
      </w:r>
    </w:p>
    <w:p>
      <w:pPr>
        <w:pStyle w:val="null3"/>
      </w:pPr>
      <w:r>
        <w:rPr/>
        <w:t>采购包1：综合评分法</w:t>
      </w:r>
    </w:p>
    <w:p>
      <w:pPr>
        <w:pStyle w:val="null3"/>
      </w:pPr>
      <w:r>
        <w:rPr/>
        <w:t>采购包2：综合评分法</w:t>
      </w:r>
    </w:p>
    <w:p>
      <w:pPr>
        <w:pStyle w:val="null3"/>
        <w:outlineLvl w:val="2"/>
      </w:pPr>
      <w:r>
        <w:rPr>
          <w:b/>
          <w:sz w:val="28"/>
        </w:rPr>
        <w:t>5.4评标程序</w:t>
      </w:r>
    </w:p>
    <w:p>
      <w:pPr>
        <w:pStyle w:val="null3"/>
        <w:outlineLvl w:val="3"/>
      </w:pPr>
      <w:r>
        <w:rPr>
          <w:b/>
          <w:sz w:val="24"/>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投标文件上法定代表人或被授权人的签字齐全并加盖公章</w:t>
            </w:r>
          </w:p>
        </w:tc>
        <w:tc>
          <w:tcPr>
            <w:tcW w:type="dxa" w:w="1661"/>
          </w:tcPr>
          <w:p>
            <w:pPr>
              <w:pStyle w:val="null3"/>
            </w:pPr>
            <w:r>
              <w:rPr/>
              <w:t>开标一览表 法定代表人身份证明及授权委托书 服务内容及服务邀请应答表 中小企业声明函 商务应答表 投标人应提交的相关资格证明材料 供应商认为需要提供的其他内容 投标函 残疾人福利性单位声明函 服务方案 标的清单 投标文件封面 监狱企业的证明文件</w:t>
            </w:r>
          </w:p>
        </w:tc>
      </w:tr>
      <w:tr>
        <w:tc>
          <w:tcPr>
            <w:tcW w:type="dxa" w:w="831"/>
          </w:tcPr>
          <w:p>
            <w:pPr>
              <w:pStyle w:val="null3"/>
            </w:pPr>
            <w:r>
              <w:rPr/>
              <w:t>3</w:t>
            </w:r>
          </w:p>
        </w:tc>
        <w:tc>
          <w:tcPr>
            <w:tcW w:type="dxa" w:w="2492"/>
          </w:tcPr>
          <w:p>
            <w:pPr>
              <w:pStyle w:val="null3"/>
            </w:pPr>
            <w:r>
              <w:rPr/>
              <w:t>投标文件格式</w:t>
            </w:r>
          </w:p>
        </w:tc>
        <w:tc>
          <w:tcPr>
            <w:tcW w:type="dxa" w:w="3322"/>
          </w:tcPr>
          <w:p>
            <w:pPr>
              <w:pStyle w:val="null3"/>
            </w:pPr>
            <w:r>
              <w:rPr/>
              <w:t>应符合“投标文件格式”要求</w:t>
            </w:r>
          </w:p>
        </w:tc>
        <w:tc>
          <w:tcPr>
            <w:tcW w:type="dxa" w:w="1661"/>
          </w:tcPr>
          <w:p>
            <w:pPr>
              <w:pStyle w:val="null3"/>
            </w:pPr>
            <w:r>
              <w:rPr/>
              <w:t>开标一览表 法定代表人身份证明及授权委托书 服务内容及服务邀请应答表 中小企业声明函 商务应答表 投标人应提交的相关资格证明材料 供应商认为需要提供的其他内容 投标函 残疾人福利性单位声明函 服务方案 标的清单 投标文件封面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开标一览表 投标函 标的清单 投标文件封面</w:t>
            </w:r>
          </w:p>
        </w:tc>
      </w:tr>
      <w:tr>
        <w:tc>
          <w:tcPr>
            <w:tcW w:type="dxa" w:w="831"/>
          </w:tcPr>
          <w:p>
            <w:pPr>
              <w:pStyle w:val="null3"/>
            </w:pPr>
            <w:r>
              <w:rPr/>
              <w:t>5</w:t>
            </w:r>
          </w:p>
        </w:tc>
        <w:tc>
          <w:tcPr>
            <w:tcW w:type="dxa" w:w="2492"/>
          </w:tcPr>
          <w:p>
            <w:pPr>
              <w:pStyle w:val="null3"/>
            </w:pPr>
            <w:r>
              <w:rPr/>
              <w:t>投标文件内容</w:t>
            </w:r>
          </w:p>
        </w:tc>
        <w:tc>
          <w:tcPr>
            <w:tcW w:type="dxa" w:w="3322"/>
          </w:tcPr>
          <w:p>
            <w:pPr>
              <w:pStyle w:val="null3"/>
            </w:pPr>
            <w:r>
              <w:rPr/>
              <w:t>投标文件内容齐全、无遗漏</w:t>
            </w:r>
          </w:p>
        </w:tc>
        <w:tc>
          <w:tcPr>
            <w:tcW w:type="dxa" w:w="1661"/>
          </w:tcPr>
          <w:p>
            <w:pPr>
              <w:pStyle w:val="null3"/>
            </w:pPr>
            <w:r>
              <w:rPr/>
              <w:t>开标一览表 法定代表人身份证明及授权委托书 服务内容及服务邀请应答表 中小企业声明函 商务应答表 投标人应提交的相关资格证明材料 供应商认为需要提供的其他内容 投标函 残疾人福利性单位声明函 服务方案 标的清单 投标文件封面 监狱企业的证明文件</w:t>
            </w:r>
          </w:p>
        </w:tc>
      </w:tr>
      <w:tr>
        <w:tc>
          <w:tcPr>
            <w:tcW w:type="dxa" w:w="831"/>
          </w:tcPr>
          <w:p>
            <w:pPr>
              <w:pStyle w:val="null3"/>
            </w:pPr>
            <w:r>
              <w:rPr/>
              <w:t>6</w:t>
            </w:r>
          </w:p>
        </w:tc>
        <w:tc>
          <w:tcPr>
            <w:tcW w:type="dxa" w:w="2492"/>
          </w:tcPr>
          <w:p>
            <w:pPr>
              <w:pStyle w:val="null3"/>
            </w:pPr>
            <w:r>
              <w:rPr/>
              <w:t>对招标文件响应程度</w:t>
            </w:r>
          </w:p>
        </w:tc>
        <w:tc>
          <w:tcPr>
            <w:tcW w:type="dxa" w:w="3322"/>
          </w:tcPr>
          <w:p>
            <w:pPr>
              <w:pStyle w:val="null3"/>
            </w:pPr>
            <w:r>
              <w:rPr/>
              <w:t>要求全面响应，不能有任何采购人不能接受的附加条件</w:t>
            </w:r>
          </w:p>
        </w:tc>
        <w:tc>
          <w:tcPr>
            <w:tcW w:type="dxa" w:w="1661"/>
          </w:tcPr>
          <w:p>
            <w:pPr>
              <w:pStyle w:val="null3"/>
            </w:pPr>
            <w:r>
              <w:rPr/>
              <w:t>开标一览表 法定代表人身份证明及授权委托书 服务内容及服务邀请应答表 中小企业声明函 商务应答表 投标人应提交的相关资格证明材料 供应商认为需要提供的其他内容 投标函 残疾人福利性单位声明函 服务方案 标的清单 投标文件封面 监狱企业的证明文件</w:t>
            </w:r>
          </w:p>
        </w:tc>
      </w:tr>
      <w:tr>
        <w:tc>
          <w:tcPr>
            <w:tcW w:type="dxa" w:w="831"/>
          </w:tcPr>
          <w:p>
            <w:pPr>
              <w:pStyle w:val="null3"/>
            </w:pPr>
            <w:r>
              <w:rPr/>
              <w:t>7</w:t>
            </w:r>
          </w:p>
        </w:tc>
        <w:tc>
          <w:tcPr>
            <w:tcW w:type="dxa" w:w="2492"/>
          </w:tcPr>
          <w:p>
            <w:pPr>
              <w:pStyle w:val="null3"/>
            </w:pPr>
            <w:r>
              <w:rPr/>
              <w:t>服务期</w:t>
            </w:r>
          </w:p>
        </w:tc>
        <w:tc>
          <w:tcPr>
            <w:tcW w:type="dxa" w:w="3322"/>
          </w:tcPr>
          <w:p>
            <w:pPr>
              <w:pStyle w:val="null3"/>
            </w:pPr>
            <w:r>
              <w:rPr/>
              <w:t>应满足招标文件中要求的服务期</w:t>
            </w:r>
          </w:p>
        </w:tc>
        <w:tc>
          <w:tcPr>
            <w:tcW w:type="dxa" w:w="1661"/>
          </w:tcPr>
          <w:p>
            <w:pPr>
              <w:pStyle w:val="null3"/>
            </w:pPr>
            <w:r>
              <w:rPr/>
              <w:t>开标一览表 法定代表人身份证明及授权委托书 服务内容及服务邀请应答表 投标函 商务应答表 服务方案 标的清单 投标文件封面 投标人应提交的相关资格证明材料</w:t>
            </w:r>
          </w:p>
        </w:tc>
      </w:tr>
      <w:tr>
        <w:tc>
          <w:tcPr>
            <w:tcW w:type="dxa" w:w="831"/>
          </w:tcPr>
          <w:p>
            <w:pPr>
              <w:pStyle w:val="null3"/>
            </w:pPr>
            <w:r>
              <w:rPr/>
              <w:t>8</w:t>
            </w:r>
          </w:p>
        </w:tc>
        <w:tc>
          <w:tcPr>
            <w:tcW w:type="dxa" w:w="2492"/>
          </w:tcPr>
          <w:p>
            <w:pPr>
              <w:pStyle w:val="null3"/>
            </w:pPr>
            <w:r>
              <w:rPr/>
              <w:t>投标有效期</w:t>
            </w:r>
          </w:p>
        </w:tc>
        <w:tc>
          <w:tcPr>
            <w:tcW w:type="dxa" w:w="3322"/>
          </w:tcPr>
          <w:p>
            <w:pPr>
              <w:pStyle w:val="null3"/>
            </w:pPr>
            <w:r>
              <w:rPr/>
              <w:t>应满足招标文件中规定的有效期</w:t>
            </w:r>
          </w:p>
        </w:tc>
        <w:tc>
          <w:tcPr>
            <w:tcW w:type="dxa" w:w="1661"/>
          </w:tcPr>
          <w:p>
            <w:pPr>
              <w:pStyle w:val="null3"/>
            </w:pPr>
            <w:r>
              <w:rPr/>
              <w:t>开标一览表 法定代表人身份证明及授权委托书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投标文件上法定代表人或被授权人的签字齐全并加盖公章</w:t>
            </w:r>
          </w:p>
        </w:tc>
        <w:tc>
          <w:tcPr>
            <w:tcW w:type="dxa" w:w="1661"/>
          </w:tcPr>
          <w:p>
            <w:pPr>
              <w:pStyle w:val="null3"/>
            </w:pPr>
            <w:r>
              <w:rPr/>
              <w:t>开标一览表 法定代表人身份证明及授权委托书 服务内容及服务邀请应答表 中小企业声明函 商务应答表 投标人应提交的相关资格证明材料 供应商认为需要提供的其他内容 投标函 残疾人福利性单位声明函 服务方案 标的清单 投标文件封面 监狱企业的证明文件</w:t>
            </w:r>
          </w:p>
        </w:tc>
      </w:tr>
      <w:tr>
        <w:tc>
          <w:tcPr>
            <w:tcW w:type="dxa" w:w="831"/>
          </w:tcPr>
          <w:p>
            <w:pPr>
              <w:pStyle w:val="null3"/>
            </w:pPr>
            <w:r>
              <w:rPr/>
              <w:t>3</w:t>
            </w:r>
          </w:p>
        </w:tc>
        <w:tc>
          <w:tcPr>
            <w:tcW w:type="dxa" w:w="2492"/>
          </w:tcPr>
          <w:p>
            <w:pPr>
              <w:pStyle w:val="null3"/>
            </w:pPr>
            <w:r>
              <w:rPr/>
              <w:t>投标文件格式</w:t>
            </w:r>
          </w:p>
        </w:tc>
        <w:tc>
          <w:tcPr>
            <w:tcW w:type="dxa" w:w="3322"/>
          </w:tcPr>
          <w:p>
            <w:pPr>
              <w:pStyle w:val="null3"/>
            </w:pPr>
            <w:r>
              <w:rPr/>
              <w:t>符合“投标文件格式”要求</w:t>
            </w:r>
          </w:p>
        </w:tc>
        <w:tc>
          <w:tcPr>
            <w:tcW w:type="dxa" w:w="1661"/>
          </w:tcPr>
          <w:p>
            <w:pPr>
              <w:pStyle w:val="null3"/>
            </w:pPr>
            <w:r>
              <w:rPr/>
              <w:t>开标一览表 法定代表人身份证明及授权委托书 服务内容及服务邀请应答表 中小企业声明函 商务应答表 投标人应提交的相关资格证明材料 供应商认为需要提供的其他内容 投标函 残疾人福利性单位声明函 服务方案 标的清单 投标文件封面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开标一览表 投标函 标的清单 投标文件封面</w:t>
            </w:r>
          </w:p>
        </w:tc>
      </w:tr>
      <w:tr>
        <w:tc>
          <w:tcPr>
            <w:tcW w:type="dxa" w:w="831"/>
          </w:tcPr>
          <w:p>
            <w:pPr>
              <w:pStyle w:val="null3"/>
            </w:pPr>
            <w:r>
              <w:rPr/>
              <w:t>5</w:t>
            </w:r>
          </w:p>
        </w:tc>
        <w:tc>
          <w:tcPr>
            <w:tcW w:type="dxa" w:w="2492"/>
          </w:tcPr>
          <w:p>
            <w:pPr>
              <w:pStyle w:val="null3"/>
            </w:pPr>
            <w:r>
              <w:rPr/>
              <w:t>投标文件内容</w:t>
            </w:r>
          </w:p>
        </w:tc>
        <w:tc>
          <w:tcPr>
            <w:tcW w:type="dxa" w:w="3322"/>
          </w:tcPr>
          <w:p>
            <w:pPr>
              <w:pStyle w:val="null3"/>
            </w:pPr>
            <w:r>
              <w:rPr/>
              <w:t>投标文件内容齐全、无遗漏</w:t>
            </w:r>
          </w:p>
        </w:tc>
        <w:tc>
          <w:tcPr>
            <w:tcW w:type="dxa" w:w="1661"/>
          </w:tcPr>
          <w:p>
            <w:pPr>
              <w:pStyle w:val="null3"/>
            </w:pPr>
            <w:r>
              <w:rPr/>
              <w:t>开标一览表 法定代表人身份证明及授权委托书 服务内容及服务邀请应答表 中小企业声明函 商务应答表 投标人应提交的相关资格证明材料 供应商认为需要提供的其他内容 投标函 残疾人福利性单位声明函 服务方案 标的清单 投标文件封面 监狱企业的证明文件</w:t>
            </w:r>
          </w:p>
        </w:tc>
      </w:tr>
      <w:tr>
        <w:tc>
          <w:tcPr>
            <w:tcW w:type="dxa" w:w="831"/>
          </w:tcPr>
          <w:p>
            <w:pPr>
              <w:pStyle w:val="null3"/>
            </w:pPr>
            <w:r>
              <w:rPr/>
              <w:t>6</w:t>
            </w:r>
          </w:p>
        </w:tc>
        <w:tc>
          <w:tcPr>
            <w:tcW w:type="dxa" w:w="2492"/>
          </w:tcPr>
          <w:p>
            <w:pPr>
              <w:pStyle w:val="null3"/>
            </w:pPr>
            <w:r>
              <w:rPr/>
              <w:t>对招标文件响应程度</w:t>
            </w:r>
          </w:p>
        </w:tc>
        <w:tc>
          <w:tcPr>
            <w:tcW w:type="dxa" w:w="3322"/>
          </w:tcPr>
          <w:p>
            <w:pPr>
              <w:pStyle w:val="null3"/>
            </w:pPr>
            <w:r>
              <w:rPr/>
              <w:t>要求全面响应，不能有任何采购人不能接受的附加条件</w:t>
            </w:r>
          </w:p>
        </w:tc>
        <w:tc>
          <w:tcPr>
            <w:tcW w:type="dxa" w:w="1661"/>
          </w:tcPr>
          <w:p>
            <w:pPr>
              <w:pStyle w:val="null3"/>
            </w:pPr>
            <w:r>
              <w:rPr/>
              <w:t>开标一览表 法定代表人身份证明及授权委托书 服务内容及服务邀请应答表 中小企业声明函 商务应答表 投标人应提交的相关资格证明材料 供应商认为需要提供的其他内容 投标函 残疾人福利性单位声明函 服务方案 标的清单 投标文件封面 监狱企业的证明文件</w:t>
            </w:r>
          </w:p>
        </w:tc>
      </w:tr>
      <w:tr>
        <w:tc>
          <w:tcPr>
            <w:tcW w:type="dxa" w:w="831"/>
          </w:tcPr>
          <w:p>
            <w:pPr>
              <w:pStyle w:val="null3"/>
            </w:pPr>
            <w:r>
              <w:rPr/>
              <w:t>7</w:t>
            </w:r>
          </w:p>
        </w:tc>
        <w:tc>
          <w:tcPr>
            <w:tcW w:type="dxa" w:w="2492"/>
          </w:tcPr>
          <w:p>
            <w:pPr>
              <w:pStyle w:val="null3"/>
            </w:pPr>
            <w:r>
              <w:rPr/>
              <w:t>服务期</w:t>
            </w:r>
          </w:p>
        </w:tc>
        <w:tc>
          <w:tcPr>
            <w:tcW w:type="dxa" w:w="3322"/>
          </w:tcPr>
          <w:p>
            <w:pPr>
              <w:pStyle w:val="null3"/>
            </w:pPr>
            <w:r>
              <w:rPr/>
              <w:t>应满足招标文件中要求的服务期</w:t>
            </w:r>
          </w:p>
        </w:tc>
        <w:tc>
          <w:tcPr>
            <w:tcW w:type="dxa" w:w="1661"/>
          </w:tcPr>
          <w:p>
            <w:pPr>
              <w:pStyle w:val="null3"/>
            </w:pPr>
            <w:r>
              <w:rPr/>
              <w:t>开标一览表 法定代表人身份证明及授权委托书 服务内容及服务邀请应答表 投标函 商务应答表 服务方案 标的清单 投标文件封面 投标人应提交的相关资格证明材料</w:t>
            </w:r>
          </w:p>
        </w:tc>
      </w:tr>
      <w:tr>
        <w:tc>
          <w:tcPr>
            <w:tcW w:type="dxa" w:w="831"/>
          </w:tcPr>
          <w:p>
            <w:pPr>
              <w:pStyle w:val="null3"/>
            </w:pPr>
            <w:r>
              <w:rPr/>
              <w:t>8</w:t>
            </w:r>
          </w:p>
        </w:tc>
        <w:tc>
          <w:tcPr>
            <w:tcW w:type="dxa" w:w="2492"/>
          </w:tcPr>
          <w:p>
            <w:pPr>
              <w:pStyle w:val="null3"/>
            </w:pPr>
            <w:r>
              <w:rPr/>
              <w:t>投标有效期</w:t>
            </w:r>
          </w:p>
        </w:tc>
        <w:tc>
          <w:tcPr>
            <w:tcW w:type="dxa" w:w="3322"/>
          </w:tcPr>
          <w:p>
            <w:pPr>
              <w:pStyle w:val="null3"/>
            </w:pPr>
            <w:r>
              <w:rPr/>
              <w:t>应满足招标文件中规定的有效期</w:t>
            </w:r>
          </w:p>
        </w:tc>
        <w:tc>
          <w:tcPr>
            <w:tcW w:type="dxa" w:w="1661"/>
          </w:tcPr>
          <w:p>
            <w:pPr>
              <w:pStyle w:val="null3"/>
            </w:pPr>
            <w:r>
              <w:rPr/>
              <w:t>开标一览表 法定代表人身份证明及授权委托书 服务内容及服务邀请应答表 投标函 商务应答表 服务方案 标的清单 投标文件封面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对本项目采购服务需求和目的理解透彻，所采取的防治消杀技术和方法先进可行。针对以上编制内容思路，清晰、完整。评标委员会横向比较综合赋分优秀8-10分、良好4-7分、一般1-3分；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供应商认为需要提供的其他内容</w:t>
            </w:r>
          </w:p>
        </w:tc>
      </w:tr>
      <w:tr>
        <w:tc>
          <w:tcPr>
            <w:tcW w:type="dxa" w:w="831"/>
            <w:vMerge/>
          </w:tcPr>
          <w:p/>
        </w:tc>
        <w:tc>
          <w:tcPr>
            <w:tcW w:type="dxa" w:w="1661"/>
          </w:tcPr>
          <w:p>
            <w:pPr>
              <w:pStyle w:val="null3"/>
            </w:pPr>
            <w:r>
              <w:rPr/>
              <w:t>服务方案</w:t>
            </w:r>
          </w:p>
        </w:tc>
        <w:tc>
          <w:tcPr>
            <w:tcW w:type="dxa" w:w="2492"/>
          </w:tcPr>
          <w:p>
            <w:pPr>
              <w:pStyle w:val="null3"/>
            </w:pPr>
            <w:r>
              <w:rPr/>
              <w:t>针对本项目具有完整、可行的总体工作计划及日常性工作的内容，及质量保证措施，总体工作计划及工作内容满足采购需求，质量能满足国家卫生城市标准，确保病媒生物密度水平达到国家B级标准。评标委员会根据投标人编写内容的完整性、合理性进行评标委员会横向比较综合赋分优秀11-15分、良好6-10分、一般1-5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供应商认为需要提供的其他内容</w:t>
            </w:r>
          </w:p>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对本项目防制对象、种类、密度、监测方法等熟悉，技术方案针对性强、能更好的确保病媒生物密度水平达到国家B级标准。评标委员会横向比较综合赋分优秀11-15分、良好6-10分、一般1-5分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供应商认为需要提供的其他内容</w:t>
            </w:r>
          </w:p>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消杀药品质量可靠，进货渠道证明资料完整、正规，质量能够得到保证。评标委员会根据投标人所提供的药品相关证明文件给与赋分。1-6分；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供应商认为需要提供的其他内容</w:t>
            </w:r>
          </w:p>
        </w:tc>
      </w:tr>
      <w:tr>
        <w:tc>
          <w:tcPr>
            <w:tcW w:type="dxa" w:w="831"/>
            <w:vMerge/>
          </w:tcPr>
          <w:p/>
        </w:tc>
        <w:tc>
          <w:tcPr>
            <w:tcW w:type="dxa" w:w="1661"/>
          </w:tcPr>
          <w:p>
            <w:pPr>
              <w:pStyle w:val="null3"/>
            </w:pPr>
            <w:r>
              <w:rPr/>
              <w:t>服务方案</w:t>
            </w:r>
          </w:p>
        </w:tc>
        <w:tc>
          <w:tcPr>
            <w:tcW w:type="dxa" w:w="2492"/>
          </w:tcPr>
          <w:p>
            <w:pPr>
              <w:pStyle w:val="null3"/>
            </w:pPr>
            <w:r>
              <w:rPr/>
              <w:t>投标人根据拟投入该项目的专用消杀工具及主要硬件设备，评标委员会根据投标人提供方案的完整性、实用性进行横向比较综合赋分优秀8-10分、良好5-7分、一般1-4分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项目组织管理机构及人员分工安排合理、职责划分明确，项目负责人及从业技术人员经过行业相关部门培训，证书证件齐全。评标委员会横向比较综合赋分优秀8-10分、良好5-7分、一般1-4分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供应商认为需要提供的其他内容</w:t>
            </w:r>
          </w:p>
          <w:p>
            <w:pPr>
              <w:pStyle w:val="null3"/>
            </w:pPr>
            <w:r>
              <w:rPr/>
              <w:t>商务应答表</w:t>
            </w:r>
          </w:p>
          <w:p>
            <w:pPr>
              <w:pStyle w:val="null3"/>
            </w:pPr>
            <w:r>
              <w:rPr/>
              <w:t>服务方案</w:t>
            </w:r>
          </w:p>
        </w:tc>
      </w:tr>
      <w:tr>
        <w:tc>
          <w:tcPr>
            <w:tcW w:type="dxa" w:w="831"/>
            <w:vMerge/>
          </w:tcPr>
          <w:p/>
        </w:tc>
        <w:tc>
          <w:tcPr>
            <w:tcW w:type="dxa" w:w="1661"/>
          </w:tcPr>
          <w:p>
            <w:pPr>
              <w:pStyle w:val="null3"/>
            </w:pPr>
            <w:r>
              <w:rPr/>
              <w:t>应急保障方案</w:t>
            </w:r>
          </w:p>
        </w:tc>
        <w:tc>
          <w:tcPr>
            <w:tcW w:type="dxa" w:w="2492"/>
          </w:tcPr>
          <w:p>
            <w:pPr>
              <w:pStyle w:val="null3"/>
            </w:pPr>
            <w:r>
              <w:rPr/>
              <w:t>制定行之有效、详细具体的应急保障方案及故障处理方案。方案描述详细、全面、合理有效、可操作性强。评标委员会横向比较综合赋分优秀8-10分、良好5-7分、一般1-4分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供应商认为需要提供的其他内容</w:t>
            </w:r>
          </w:p>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针对本采购项目及采购人实际需求提供详细具体可行的售后服务措施承诺，且具有良好的售后团队及固定售后服务机构，售后服务方案详细具体，可行拟投入售后服务人员全面具体。评标委员会横向比较综合赋分优秀8-10分、良好5-7分、一般1-4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供应商认为需要提供的其他内容</w:t>
            </w:r>
          </w:p>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提供2021年1月1日至今同类病媒生物防制业绩，提供一份得1分。注：以合同或中标通知书为准，不提供或提供不全不得分。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供应商认为需要提供的其他内容</w:t>
            </w:r>
          </w:p>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对本项目采购服务需求和目的理解透彻，所采取的防治消杀技术和方法先进可行。针对以上编制内容思路，清晰、完整。评标委员会横向比较综合赋分优秀8-10分、良好4-7分、一般1-3分；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供应商认为需要提供的其他内容</w:t>
            </w:r>
          </w:p>
        </w:tc>
      </w:tr>
      <w:tr>
        <w:tc>
          <w:tcPr>
            <w:tcW w:type="dxa" w:w="831"/>
            <w:vMerge/>
          </w:tcPr>
          <w:p/>
        </w:tc>
        <w:tc>
          <w:tcPr>
            <w:tcW w:type="dxa" w:w="1661"/>
          </w:tcPr>
          <w:p>
            <w:pPr>
              <w:pStyle w:val="null3"/>
            </w:pPr>
            <w:r>
              <w:rPr/>
              <w:t>服务方案</w:t>
            </w:r>
          </w:p>
        </w:tc>
        <w:tc>
          <w:tcPr>
            <w:tcW w:type="dxa" w:w="2492"/>
          </w:tcPr>
          <w:p>
            <w:pPr>
              <w:pStyle w:val="null3"/>
            </w:pPr>
            <w:r>
              <w:rPr/>
              <w:t>针对本项目具有完整、可行的总体工作计划及日常性工作的内容，及质量保证措施，总体工作计划及工作内容满足采购需求，质量能满足国家卫生城市标准，确保病媒生物密度水平达到国家B级标准。评标委员会根据投标人编写内容的完整性、合理性进行评标委员会横向比较综合赋分优秀11-15分、良好6-10分、一般1-5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供应商认为需要提供的其他内容</w:t>
            </w:r>
          </w:p>
        </w:tc>
      </w:tr>
      <w:tr>
        <w:tc>
          <w:tcPr>
            <w:tcW w:type="dxa" w:w="831"/>
            <w:vMerge/>
          </w:tcPr>
          <w:p/>
        </w:tc>
        <w:tc>
          <w:tcPr>
            <w:tcW w:type="dxa" w:w="1661"/>
          </w:tcPr>
          <w:p>
            <w:pPr>
              <w:pStyle w:val="null3"/>
            </w:pPr>
            <w:r>
              <w:rPr/>
              <w:t>服务方案</w:t>
            </w:r>
          </w:p>
        </w:tc>
        <w:tc>
          <w:tcPr>
            <w:tcW w:type="dxa" w:w="2492"/>
          </w:tcPr>
          <w:p>
            <w:pPr>
              <w:pStyle w:val="null3"/>
            </w:pPr>
            <w:r>
              <w:rPr/>
              <w:t>对本项目防制对象、种类、密度、监测方法等熟悉，技术方案针对性强、能更好的确保病媒生物密度水平达到国家B级标准。评标委员会横向比较综合赋分优秀11-15分、良好6-10分、一般1-5分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供应商认为需要提供的其他内容</w:t>
            </w:r>
          </w:p>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消杀药品质量可靠，进货渠道证明资料完整、正规，质量能够得到保证。评标委员会根据投标人所提供的药品相关证明文件给与赋分。1-6分；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供应商认为需要提供的其他内容</w:t>
            </w:r>
          </w:p>
        </w:tc>
      </w:tr>
      <w:tr>
        <w:tc>
          <w:tcPr>
            <w:tcW w:type="dxa" w:w="831"/>
            <w:vMerge/>
          </w:tcPr>
          <w:p/>
        </w:tc>
        <w:tc>
          <w:tcPr>
            <w:tcW w:type="dxa" w:w="1661"/>
          </w:tcPr>
          <w:p>
            <w:pPr>
              <w:pStyle w:val="null3"/>
            </w:pPr>
            <w:r>
              <w:rPr/>
              <w:t>服务方案</w:t>
            </w:r>
          </w:p>
        </w:tc>
        <w:tc>
          <w:tcPr>
            <w:tcW w:type="dxa" w:w="2492"/>
          </w:tcPr>
          <w:p>
            <w:pPr>
              <w:pStyle w:val="null3"/>
            </w:pPr>
            <w:r>
              <w:rPr/>
              <w:t>投标人根据拟投入该项目的专用消杀工具及主要硬件设备，评标委员会根据投标人提供方案的完整性、实用性进行横向比较综合赋分优秀8-10分、良好5-7分、一般1-4分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供应商认为需要提供的其他内容</w:t>
            </w:r>
          </w:p>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项目组织管理机构及人员分工安排合理、职责划分明确，项目负责人及从业技术人员经过行业相关部门培训，证书证件齐全。评标委员会横向比较综合赋分优秀8-10分、良好5-7分、一般1-4分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供应商认为需要提供的其他内容</w:t>
            </w:r>
          </w:p>
        </w:tc>
      </w:tr>
      <w:tr>
        <w:tc>
          <w:tcPr>
            <w:tcW w:type="dxa" w:w="831"/>
            <w:vMerge/>
          </w:tcPr>
          <w:p/>
        </w:tc>
        <w:tc>
          <w:tcPr>
            <w:tcW w:type="dxa" w:w="1661"/>
          </w:tcPr>
          <w:p>
            <w:pPr>
              <w:pStyle w:val="null3"/>
            </w:pPr>
            <w:r>
              <w:rPr/>
              <w:t>应急保障方案</w:t>
            </w:r>
          </w:p>
        </w:tc>
        <w:tc>
          <w:tcPr>
            <w:tcW w:type="dxa" w:w="2492"/>
          </w:tcPr>
          <w:p>
            <w:pPr>
              <w:pStyle w:val="null3"/>
            </w:pPr>
            <w:r>
              <w:rPr/>
              <w:t>制定行之有效、详细具体的应急保障方案及故障处理方案。方案描述详细、全面、合理有效、可操作性强。评标委员会横向比较综合赋分优秀8-10分、良好5-7分、一般1-4分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供应商认为需要提供的其他内容</w:t>
            </w:r>
          </w:p>
        </w:tc>
      </w:tr>
      <w:tr>
        <w:tc>
          <w:tcPr>
            <w:tcW w:type="dxa" w:w="831"/>
            <w:vMerge/>
          </w:tcPr>
          <w:p/>
        </w:tc>
        <w:tc>
          <w:tcPr>
            <w:tcW w:type="dxa" w:w="1661"/>
          </w:tcPr>
          <w:p>
            <w:pPr>
              <w:pStyle w:val="null3"/>
            </w:pPr>
            <w:r>
              <w:rPr/>
              <w:t>售后服务</w:t>
            </w:r>
          </w:p>
        </w:tc>
        <w:tc>
          <w:tcPr>
            <w:tcW w:type="dxa" w:w="2492"/>
          </w:tcPr>
          <w:p>
            <w:pPr>
              <w:pStyle w:val="null3"/>
            </w:pPr>
            <w:r>
              <w:rPr/>
              <w:t>针对本采购项目及采购人实际需求提供详细具体可行的售后服务措施承诺，且具有良好的售后团队及固定售后服务机构，售后服务方案详细具体，可行拟投入售后服务人员全面具体。评标委员会横向比较综合赋分优秀8-10分、良好5-7分、一般1-4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供应商认为需要提供的其他内容</w:t>
            </w:r>
          </w:p>
        </w:tc>
      </w:tr>
      <w:tr>
        <w:tc>
          <w:tcPr>
            <w:tcW w:type="dxa" w:w="831"/>
            <w:vMerge/>
          </w:tcPr>
          <w:p/>
        </w:tc>
        <w:tc>
          <w:tcPr>
            <w:tcW w:type="dxa" w:w="1661"/>
          </w:tcPr>
          <w:p>
            <w:pPr>
              <w:pStyle w:val="null3"/>
            </w:pPr>
            <w:r>
              <w:rPr/>
              <w:t>业绩</w:t>
            </w:r>
          </w:p>
        </w:tc>
        <w:tc>
          <w:tcPr>
            <w:tcW w:type="dxa" w:w="2492"/>
          </w:tcPr>
          <w:p>
            <w:pPr>
              <w:pStyle w:val="null3"/>
            </w:pPr>
            <w:r>
              <w:rPr/>
              <w:t>提供2021年1月1日至今同类病媒生物防制业绩，提供一份得1分。注：以合同或中标通知书为准，不提供或提供不全不得分。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供应商认为需要提供的其他内容</w:t>
            </w:r>
          </w:p>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第6章投标文件格式</w:t>
      </w:r>
    </w:p>
    <w:p>
      <w:pPr>
        <w:pStyle w:val="null3"/>
        <w:outlineLvl w:val="2"/>
      </w:pPr>
      <w:r>
        <w:rPr>
          <w:b/>
          <w:sz w:val="28"/>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详见附件：法定代表人身份证明及授权委托书</w:t>
      </w:r>
    </w:p>
    <w:p>
      <w:pPr>
        <w:pStyle w:val="null3"/>
        <w:ind w:firstLine="960"/>
      </w:pPr>
      <w:r>
        <w:rPr/>
        <w:t>详见附件：供应商认为需要提供的其他内容</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详见附件：法定代表人身份证明及授权委托书</w:t>
      </w:r>
    </w:p>
    <w:p>
      <w:pPr>
        <w:pStyle w:val="null3"/>
        <w:ind w:firstLine="960"/>
      </w:pPr>
      <w:r>
        <w:rPr/>
        <w:t>详见附件：供应商认为需要提供的其他内容</w:t>
      </w:r>
    </w:p>
    <w:p>
      <w:pPr>
        <w:pStyle w:val="null3"/>
      </w:pPr>
      <w:r>
        <w:rPr/>
        <w:t xml:space="preserve"> </w:t>
      </w:r>
    </w:p>
    <w:p>
      <w:pPr>
        <w:pStyle w:val="null3"/>
        <w:jc w:val="center"/>
        <w:outlineLvl w:val="1"/>
      </w:pPr>
      <w:r>
        <w:rPr>
          <w:b/>
          <w:sz w:val="36"/>
        </w:rPr>
        <w:t>第7章 拟签订采购合同文本</w:t>
      </w:r>
    </w:p>
    <w:p>
      <w:pPr>
        <w:pStyle w:val="null3"/>
      </w:pPr>
      <w:r>
        <w:rPr/>
        <w:t>详见附件：服务合同.docx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