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新冠本土变异监测病毒测序服务</w:t>
      </w:r>
    </w:p>
    <w:p>
      <w:pPr>
        <w:pStyle w:val="null3"/>
        <w:jc w:val="center"/>
        <w:outlineLvl w:val="2"/>
      </w:pPr>
      <w:r>
        <w:rPr>
          <w:b/>
          <w:sz w:val="28"/>
        </w:rPr>
        <w:t>采购项目编号：</w:t>
      </w:r>
      <w:r>
        <w:rPr>
          <w:b/>
          <w:sz w:val="28"/>
        </w:rPr>
        <w:t>HXZBTC2024-003</w:t>
      </w:r>
      <w:r>
        <w:br/>
      </w:r>
      <w:r>
        <w:br/>
      </w:r>
      <w:r>
        <w:br/>
      </w:r>
    </w:p>
    <w:p>
      <w:pPr>
        <w:pStyle w:val="null3"/>
        <w:jc w:val="center"/>
        <w:outlineLvl w:val="2"/>
      </w:pPr>
      <w:r>
        <w:rPr>
          <w:b/>
          <w:sz w:val="28"/>
        </w:rPr>
        <w:t>铜川市疾病预防控制中心</w:t>
      </w:r>
    </w:p>
    <w:p>
      <w:pPr>
        <w:pStyle w:val="null3"/>
        <w:jc w:val="center"/>
        <w:outlineLvl w:val="2"/>
      </w:pPr>
      <w:r>
        <w:rPr>
          <w:b/>
          <w:sz w:val="28"/>
        </w:rPr>
        <w:t>陕西汇兴项目管理有限公司</w:t>
      </w:r>
      <w:r>
        <w:rPr>
          <w:b/>
          <w:sz w:val="28"/>
        </w:rPr>
        <w:t>共同编制</w:t>
      </w:r>
    </w:p>
    <w:p>
      <w:pPr>
        <w:pStyle w:val="null3"/>
        <w:jc w:val="center"/>
        <w:outlineLvl w:val="2"/>
      </w:pPr>
      <w:r>
        <w:rPr>
          <w:b/>
          <w:sz w:val="28"/>
        </w:rPr>
        <w:t>2024年04月01日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陕西汇兴项目管理有限公司</w:t>
      </w:r>
      <w:r>
        <w:rPr/>
        <w:t>（以下简称“代理机构”）受</w:t>
      </w:r>
      <w:r>
        <w:rPr/>
        <w:t>铜川市疾病预防控制中心</w:t>
      </w:r>
      <w:r>
        <w:rPr/>
        <w:t>委托，拟对</w:t>
      </w:r>
      <w:r>
        <w:rPr/>
        <w:t>新冠本土变异监测病毒测序服务</w:t>
      </w:r>
      <w:r>
        <w:rPr/>
        <w:t>采用竞争性磋商采购方式进行采购，兹邀请供应商参加本项目的竞争性磋商。</w:t>
      </w:r>
    </w:p>
    <w:p>
      <w:pPr>
        <w:pStyle w:val="null3"/>
        <w:outlineLvl w:val="2"/>
      </w:pPr>
      <w:r>
        <w:rPr>
          <w:b/>
          <w:sz w:val="28"/>
        </w:rPr>
        <w:t>一、项目编号：</w:t>
      </w:r>
      <w:r>
        <w:rPr>
          <w:b/>
          <w:sz w:val="28"/>
        </w:rPr>
        <w:t>HXZBTC2024-003</w:t>
      </w:r>
    </w:p>
    <w:p>
      <w:pPr>
        <w:pStyle w:val="null3"/>
        <w:outlineLvl w:val="2"/>
      </w:pPr>
      <w:r>
        <w:rPr>
          <w:b/>
          <w:sz w:val="28"/>
        </w:rPr>
        <w:t>二、项目名称：</w:t>
      </w:r>
      <w:r>
        <w:rPr>
          <w:b/>
          <w:sz w:val="28"/>
        </w:rPr>
        <w:t>新冠本土变异监测病毒测序服务</w:t>
      </w:r>
    </w:p>
    <w:p>
      <w:pPr>
        <w:pStyle w:val="null3"/>
        <w:outlineLvl w:val="2"/>
      </w:pPr>
      <w:r>
        <w:rPr>
          <w:b/>
          <w:sz w:val="28"/>
        </w:rPr>
        <w:t>三、磋商项目简介</w:t>
      </w:r>
    </w:p>
    <w:p>
      <w:pPr>
        <w:pStyle w:val="null3"/>
        <w:ind w:firstLine="480"/>
      </w:pPr>
      <w:r>
        <w:rPr/>
        <w:t>据2024年度新型本土变异监测工作要求，需对我市哨点医院送检的代表性新冠病毒感染者样本进行病毒基因组测序 和序列比对分析。</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采购包1（新冠本土变异监测病毒测序服务）：属于专门面向中小企业采购。</w:t>
      </w:r>
    </w:p>
    <w:p>
      <w:pPr>
        <w:pStyle w:val="null3"/>
        <w:ind w:firstLine="480"/>
      </w:pPr>
      <w:r>
        <w:rPr/>
        <w:t>（三）本项目的特定资格要求：</w:t>
      </w:r>
    </w:p>
    <w:p>
      <w:pPr>
        <w:pStyle w:val="null3"/>
      </w:pPr>
      <w:r>
        <w:rPr/>
        <w:t>采购包1：</w:t>
      </w:r>
    </w:p>
    <w:p>
      <w:pPr>
        <w:pStyle w:val="null3"/>
      </w:pPr>
      <w:r>
        <w:rPr/>
        <w:t>1、供应商特殊资格要求：(1)、具有独立承担民事责任能力的法人、其他组织或自然人，并出具合法有效的营业执照或事业单位法人证书等国家规定的相关证明，自然人参与的提供其身份证明； (2)、财务状况报告：提供具有财务审计资质单位出具的2022年度财务报告或磋商前六个月内其基本账户银行出具的资信证明或政府采购信用担保机构出具的磋商担保函； (3)、税收交纳证明：提供截止至磋商时间前六个月内任意二个月的缴费凭据；（依法免税的供应商应提供相关文件证明）； (4)、社会保障资金交纳证明：提供截止至磋商时间前六个月内任意二个月的社保缴费凭据或社保机构开具的社会保险参保缴费情况证明；（依法不需要交纳社会保障资金的供应商应提供相关证明）；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(7)、供应商应授权合法的人员参加磋商全过程，其中法定代表直接参加磋商的，须出具身份证，并与营业执照上信息一致。授权代表参加磋商的，须出具法定代表人授权委托书及授权代表身份证； (8)、供应商须具备CMA 认证标志且有效的检验检测机构资质认定证书； (9)、供应商不得为“信用中国(www.creditchina.gov.cn)”中列入失信被执行人名单的供应商，不得为“中国政府采购网(www.ccgp.gov.cn)”政府采购严重违法失信行为记录名单中被财政部门禁止参加政府采购活动的供应商； (10)、本项目不允许联合体磋商。（提供非联合体磋商承诺）。</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铜川市疾病预防控制中心</w:t>
      </w:r>
    </w:p>
    <w:p>
      <w:pPr>
        <w:pStyle w:val="null3"/>
      </w:pPr>
      <w:r>
        <w:rPr/>
        <w:t xml:space="preserve"> 地址： </w:t>
      </w:r>
      <w:r>
        <w:rPr/>
        <w:t>铜川新区金裕路</w:t>
      </w:r>
    </w:p>
    <w:p>
      <w:pPr>
        <w:pStyle w:val="null3"/>
      </w:pPr>
      <w:r>
        <w:rPr/>
        <w:t xml:space="preserve"> 邮编： </w:t>
      </w:r>
      <w:r>
        <w:rPr/>
        <w:t>727031</w:t>
      </w:r>
    </w:p>
    <w:p>
      <w:pPr>
        <w:pStyle w:val="null3"/>
      </w:pPr>
      <w:r>
        <w:rPr/>
        <w:t xml:space="preserve"> 联系人： </w:t>
      </w:r>
      <w:r>
        <w:rPr/>
        <w:t>铜川市疾病预防控制中心经办</w:t>
      </w:r>
    </w:p>
    <w:p>
      <w:pPr>
        <w:pStyle w:val="null3"/>
      </w:pPr>
      <w:r>
        <w:rPr/>
        <w:t xml:space="preserve"> 联系电话： </w:t>
      </w:r>
      <w:r>
        <w:rPr/>
        <w:t>0919-3189113</w:t>
      </w:r>
    </w:p>
    <w:p>
      <w:pPr>
        <w:pStyle w:val="null3"/>
        <w:outlineLvl w:val="3"/>
      </w:pPr>
      <w:r>
        <w:rPr>
          <w:b/>
          <w:sz w:val="24"/>
        </w:rPr>
        <w:t>代理机构：</w:t>
      </w:r>
      <w:r>
        <w:rPr>
          <w:b/>
          <w:sz w:val="24"/>
        </w:rPr>
        <w:t>陕西汇兴项目管理有限公司</w:t>
      </w:r>
    </w:p>
    <w:p>
      <w:pPr>
        <w:pStyle w:val="null3"/>
      </w:pPr>
      <w:r>
        <w:rPr/>
        <w:t xml:space="preserve"> 地址： </w:t>
      </w:r>
      <w:r>
        <w:rPr/>
        <w:t>陕西省西安市经济技术开发区凤城九路海博广场D座1902室</w:t>
      </w:r>
    </w:p>
    <w:p>
      <w:pPr>
        <w:pStyle w:val="null3"/>
      </w:pPr>
      <w:r>
        <w:rPr/>
        <w:t xml:space="preserve"> 邮编： </w:t>
      </w:r>
      <w:r>
        <w:rPr/>
        <w:t>710000</w:t>
      </w:r>
    </w:p>
    <w:p>
      <w:pPr>
        <w:pStyle w:val="null3"/>
      </w:pPr>
      <w:r>
        <w:rPr/>
        <w:t xml:space="preserve"> 联系人： </w:t>
      </w:r>
      <w:r>
        <w:rPr/>
        <w:t>张伟</w:t>
      </w:r>
    </w:p>
    <w:p>
      <w:pPr>
        <w:pStyle w:val="null3"/>
      </w:pPr>
      <w:r>
        <w:rPr/>
        <w:t xml:space="preserve"> 联系电话： </w:t>
      </w:r>
      <w:r>
        <w:rPr/>
        <w:t>1520919909</w:t>
      </w:r>
    </w:p>
    <w:p>
      <w:pPr>
        <w:pStyle w:val="null3"/>
        <w:outlineLvl w:val="3"/>
      </w:pPr>
      <w:r>
        <w:rPr>
          <w:b/>
          <w:sz w:val="24"/>
        </w:rPr>
        <w:t>采购监督机构：</w:t>
      </w:r>
      <w:r>
        <w:rPr>
          <w:b/>
          <w:sz w:val="24"/>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采购包1：707,000.00元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代理服务费收费标准：采购代理机构参照国家计委关于印发《招标代理服务收费管理暂行办法》的通知（计价格〔2002〕1980号）、《国家发展和改革委员会办公厅关于招标代理服务收 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铜川市疾病预防控制中心</w:t>
      </w:r>
      <w:r>
        <w:rPr/>
        <w:t>和</w:t>
      </w:r>
      <w:r>
        <w:rPr/>
        <w:t>陕西汇兴项目管理有限公司</w:t>
      </w:r>
      <w:r>
        <w:rPr/>
        <w:t>享有。对磋商文件中供应商参加本次政府采购活动应当具备的条件，磋商项目技术、服务、商务及其他要求，评审细则及标准由</w:t>
      </w:r>
      <w:r>
        <w:rPr/>
        <w:t>铜川市疾病预防控制中心</w:t>
      </w:r>
      <w:r>
        <w:rPr/>
        <w:t>负责解释。除上述磋商文件内容，其他内容由</w:t>
      </w:r>
      <w:r>
        <w:rPr/>
        <w:t>陕西汇兴项目管理有限公司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铜川市疾病预防控制中心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陕西汇兴项目管理有限公司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以实际签订合同为准</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陕西汇兴项目管理有限公司</w:t>
      </w:r>
      <w:r>
        <w:rPr/>
        <w:t xml:space="preserve"> 负责答复；供应商对除采购需求外的采购文件的询问、质疑由</w:t>
      </w:r>
      <w:r>
        <w:rPr/>
        <w:t>陕西汇兴项目管理有限公司</w:t>
      </w:r>
      <w:r>
        <w:rPr/>
        <w:t xml:space="preserve"> 负责答复；供应商对采购过程、采购结果的询问、质疑由 </w:t>
      </w:r>
      <w:r>
        <w:rPr/>
        <w:t>陕西汇兴项目管理有限公司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联系人：张伟</w:t>
      </w:r>
    </w:p>
    <w:p>
      <w:pPr>
        <w:pStyle w:val="null3"/>
      </w:pPr>
      <w:r>
        <w:rPr/>
        <w:t>联系电话：15209199909</w:t>
      </w:r>
    </w:p>
    <w:p>
      <w:pPr>
        <w:pStyle w:val="null3"/>
      </w:pPr>
      <w:r>
        <w:rPr/>
        <w:t>地址：铜川市新区金谟西路44号家园二楼203室。</w:t>
      </w:r>
    </w:p>
    <w:p>
      <w:pPr>
        <w:pStyle w:val="null3"/>
      </w:pPr>
      <w:r>
        <w:rPr/>
        <w:t>邮编：727031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据2024年度新型本土变异监测工作要求，需对我市哨点医院送检的代表性新冠病毒感染者样本进行病毒基因组测序和序列比对分析。</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707,000.00</w:t>
      </w:r>
    </w:p>
    <w:p>
      <w:pPr>
        <w:pStyle w:val="null3"/>
      </w:pPr>
      <w:r>
        <w:rPr/>
        <w:t>采购包最高限价（元）: 707,000.00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测序服务</w:t>
            </w:r>
          </w:p>
        </w:tc>
        <w:tc>
          <w:tcPr>
            <w:tcW w:type="dxa" w:w="831"/>
          </w:tcPr>
          <w:p>
            <w:pPr>
              <w:pStyle w:val="null3"/>
              <w:jc w:val="right"/>
            </w:pPr>
            <w:r>
              <w:rPr/>
              <w:t>471.00</w:t>
            </w:r>
          </w:p>
        </w:tc>
        <w:tc>
          <w:tcPr>
            <w:tcW w:type="dxa" w:w="831"/>
          </w:tcPr>
          <w:p>
            <w:pPr>
              <w:pStyle w:val="null3"/>
              <w:jc w:val="right"/>
            </w:pPr>
            <w:r>
              <w:rPr/>
              <w:t>707,000.00</w:t>
            </w:r>
          </w:p>
        </w:tc>
        <w:tc>
          <w:tcPr>
            <w:tcW w:type="dxa" w:w="831"/>
          </w:tcPr>
          <w:p>
            <w:pPr>
              <w:pStyle w:val="null3"/>
            </w:pPr>
            <w:r>
              <w:rPr/>
              <w:t>份</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标的名称：测序服务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仿宋" w:hAnsi="仿宋" w:cs="仿宋" w:eastAsia="仿宋"/>
                <w:b/>
                <w:color w:val="333333"/>
                <w:sz w:val="36"/>
              </w:rPr>
              <w:t>采购需求</w:t>
            </w:r>
          </w:p>
          <w:p>
            <w:pPr>
              <w:pStyle w:val="null3"/>
              <w:ind w:firstLine="640"/>
            </w:pPr>
            <w:r>
              <w:rPr>
                <w:rFonts w:ascii="仿宋" w:hAnsi="仿宋" w:cs="仿宋" w:eastAsia="仿宋"/>
                <w:color w:val="333333"/>
                <w:sz w:val="32"/>
              </w:rPr>
              <w:t>根据</w:t>
            </w:r>
            <w:r>
              <w:rPr>
                <w:rFonts w:ascii="仿宋" w:hAnsi="仿宋" w:cs="仿宋" w:eastAsia="仿宋"/>
                <w:color w:val="333333"/>
                <w:sz w:val="32"/>
              </w:rPr>
              <w:t>2024年度新型本土变异监测工作要求，需对我市哨点医院送检的代表性新冠病毒感染者样本进行病毒基因组测序和序列比对分析，</w:t>
            </w:r>
            <w:r>
              <w:rPr>
                <w:rFonts w:ascii="仿宋" w:hAnsi="仿宋" w:cs="仿宋" w:eastAsia="仿宋"/>
                <w:color w:val="333333"/>
                <w:sz w:val="32"/>
              </w:rPr>
              <w:t>具体要求如下：</w:t>
            </w:r>
          </w:p>
          <w:p>
            <w:pPr>
              <w:pStyle w:val="null3"/>
            </w:pPr>
            <w:r>
              <w:rPr>
                <w:rFonts w:ascii="仿宋" w:hAnsi="仿宋" w:cs="仿宋" w:eastAsia="仿宋"/>
                <w:color w:val="333333"/>
                <w:sz w:val="32"/>
              </w:rPr>
              <w:t>1.接收样本为咽拭子标本。</w:t>
            </w:r>
          </w:p>
          <w:p>
            <w:pPr>
              <w:pStyle w:val="null3"/>
            </w:pPr>
            <w:r>
              <w:rPr>
                <w:rFonts w:ascii="仿宋" w:hAnsi="仿宋" w:cs="仿宋" w:eastAsia="仿宋"/>
                <w:color w:val="333333"/>
                <w:sz w:val="32"/>
              </w:rPr>
              <w:t>2.完成从提取到测序数据分析全流程并出具分析报告。</w:t>
            </w:r>
          </w:p>
          <w:p>
            <w:pPr>
              <w:pStyle w:val="null3"/>
            </w:pPr>
            <w:r>
              <w:rPr>
                <w:rFonts w:ascii="仿宋" w:hAnsi="仿宋" w:cs="仿宋" w:eastAsia="仿宋"/>
                <w:color w:val="333333"/>
                <w:sz w:val="32"/>
              </w:rPr>
              <w:t>3.收到标本5日内完成测序及分析。</w:t>
            </w:r>
          </w:p>
          <w:p>
            <w:pPr>
              <w:pStyle w:val="null3"/>
            </w:pPr>
            <w:r>
              <w:rPr>
                <w:rFonts w:ascii="仿宋" w:hAnsi="仿宋" w:cs="仿宋" w:eastAsia="仿宋"/>
                <w:color w:val="333333"/>
                <w:sz w:val="32"/>
              </w:rPr>
              <w:t>4.提供原始测序数据和分析后的fasta格式的一致性序列。</w:t>
            </w:r>
          </w:p>
          <w:p>
            <w:pPr>
              <w:pStyle w:val="null3"/>
            </w:pPr>
            <w:r>
              <w:rPr>
                <w:rFonts w:ascii="仿宋" w:hAnsi="仿宋" w:cs="仿宋" w:eastAsia="仿宋"/>
                <w:color w:val="333333"/>
                <w:sz w:val="32"/>
              </w:rPr>
              <w:t>5.CT值小于32（以收到的标本为准）的标本全基因组覆盖度需达到96%以上。</w:t>
            </w:r>
          </w:p>
        </w:tc>
      </w:tr>
    </w:tbl>
    <w:p>
      <w:pPr>
        <w:pStyle w:val="null3"/>
        <w:outlineLvl w:val="2"/>
      </w:pPr>
      <w:r>
        <w:rPr>
          <w:b/>
          <w:sz w:val="28"/>
        </w:rPr>
        <w:t>3.2.3人员配置要求</w:t>
      </w:r>
    </w:p>
    <w:p>
      <w:pPr>
        <w:pStyle w:val="null3"/>
      </w:pPr>
      <w:r>
        <w:rPr/>
        <w:t>采购包1：</w:t>
      </w:r>
    </w:p>
    <w:p>
      <w:pPr>
        <w:pStyle w:val="null3"/>
      </w:pPr>
      <w:r>
        <w:rPr/>
        <w:t>具体要求详见磋商文件评分标准要求。</w:t>
      </w:r>
    </w:p>
    <w:p>
      <w:pPr>
        <w:pStyle w:val="null3"/>
        <w:outlineLvl w:val="2"/>
      </w:pPr>
      <w:r>
        <w:rPr>
          <w:b/>
          <w:sz w:val="28"/>
        </w:rPr>
        <w:t>3.2.4设施设备要求</w:t>
      </w:r>
    </w:p>
    <w:p>
      <w:pPr>
        <w:pStyle w:val="null3"/>
      </w:pPr>
      <w:r>
        <w:rPr/>
        <w:t>采购包1：</w:t>
      </w:r>
    </w:p>
    <w:p>
      <w:pPr>
        <w:pStyle w:val="null3"/>
      </w:pPr>
      <w:r>
        <w:rPr/>
        <w:t>具体要求详见磋商文件评分标准要求。</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自合同签订之日起1年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以实际签订合同为准</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第一季度（按达到国家数据要求的报告数量结算）</w:t>
      </w:r>
      <w:r>
        <w:rPr/>
        <w:t xml:space="preserve"> ，达到付款条件起 </w:t>
      </w:r>
      <w:r>
        <w:rPr/>
        <w:t>7</w:t>
      </w:r>
      <w:r>
        <w:rPr/>
        <w:t xml:space="preserve"> 日内，支付合同总金额的 </w:t>
      </w:r>
      <w:r>
        <w:rPr/>
        <w:t>25.00</w:t>
      </w:r>
      <w:r>
        <w:rPr/>
        <w:t>%。</w:t>
      </w:r>
    </w:p>
    <w:p>
      <w:pPr>
        <w:pStyle w:val="null3"/>
      </w:pPr>
      <w:r>
        <w:rPr/>
        <w:t>采购包1：</w:t>
      </w:r>
      <w:r>
        <w:rPr/>
        <w:t xml:space="preserve"> 付款条件说明： </w:t>
      </w:r>
      <w:r>
        <w:rPr/>
        <w:t>第二季度（按达到国家数据要求的报告数量结算）</w:t>
      </w:r>
      <w:r>
        <w:rPr/>
        <w:t xml:space="preserve"> ，达到付款条件起 </w:t>
      </w:r>
      <w:r>
        <w:rPr/>
        <w:t>7</w:t>
      </w:r>
      <w:r>
        <w:rPr/>
        <w:t xml:space="preserve"> 日内，支付合同总金额的 </w:t>
      </w:r>
      <w:r>
        <w:rPr/>
        <w:t>25.00</w:t>
      </w:r>
      <w:r>
        <w:rPr/>
        <w:t>%。</w:t>
      </w:r>
    </w:p>
    <w:p>
      <w:pPr>
        <w:pStyle w:val="null3"/>
      </w:pPr>
      <w:r>
        <w:rPr/>
        <w:t>采购包1：</w:t>
      </w:r>
      <w:r>
        <w:rPr/>
        <w:t xml:space="preserve"> 付款条件说明： </w:t>
      </w:r>
      <w:r>
        <w:rPr/>
        <w:t>第三季度（按达到国家数据要求的报告数量结算）</w:t>
      </w:r>
      <w:r>
        <w:rPr/>
        <w:t xml:space="preserve"> ，达到付款条件起 </w:t>
      </w:r>
      <w:r>
        <w:rPr/>
        <w:t>7</w:t>
      </w:r>
      <w:r>
        <w:rPr/>
        <w:t xml:space="preserve"> 日内，支付合同总金额的 </w:t>
      </w:r>
      <w:r>
        <w:rPr/>
        <w:t>25.00</w:t>
      </w:r>
      <w:r>
        <w:rPr/>
        <w:t>%。</w:t>
      </w:r>
    </w:p>
    <w:p>
      <w:pPr>
        <w:pStyle w:val="null3"/>
      </w:pPr>
      <w:r>
        <w:rPr/>
        <w:t>采购包1：</w:t>
      </w:r>
      <w:r>
        <w:rPr/>
        <w:t xml:space="preserve"> 付款条件说明： </w:t>
      </w:r>
      <w:r>
        <w:rPr/>
        <w:t>第四季度（按达到国家数据要求的报告数量结算）</w:t>
      </w:r>
      <w:r>
        <w:rPr/>
        <w:t xml:space="preserve"> ，达到付款条件起 </w:t>
      </w:r>
      <w:r>
        <w:rPr/>
        <w:t>7</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以实际签订合同为准</w:t>
      </w:r>
    </w:p>
    <w:p>
      <w:pPr>
        <w:pStyle w:val="null3"/>
        <w:outlineLvl w:val="2"/>
      </w:pPr>
      <w:r>
        <w:rPr>
          <w:b/>
          <w:sz w:val="28"/>
        </w:rPr>
        <w:t>3.4其他要求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供应商特殊资格要求</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 (2)、财务状况报告：提供具有财务审计资质单位出具的2022年度财务报告或磋商前六个月内其基本账户银行出具的资信证明或政府采购信用担保机构出具的磋商担保函； (3)、税收交纳证明：提供截止至磋商时间前六个月内任意二个月的缴费凭据；（依法免税的供应商应提供相关文件证明）； (4)、社会保障资金交纳证明：提供截止至磋商时间前六个月内任意二个月的社保缴费凭据或社保机构开具的社会保险参保缴费情况证明；（依法不需要交纳社会保障资金的供应商应提供相关证明）；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(7)、供应商应授权合法的人员参加磋商全过程，其中法定代表直接参加磋商的，须出具身份证，并与营业执照上信息一致。授权代表参加磋商的，须出具法定代表人授权委托书及授权代表身份证； (8)、供应商须具备CMA 认证标志且有效的检验检测机构资质认定证书； (9)、供应商不得为“信用中国(www.creditchina.gov.cn)”中列入失信被执行人名单的供应商，不得为“中国政府采购网(www.ccgp.gov.cn)”政府采购严重违法失信行为记录名单中被财政部门禁止参加政府采购活动的供应商； (10)、本项目不允许联合体磋商。（提供非联合体磋商承诺）。</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磋商响应文件上法定代表人或被授权人的签字齐全并加盖公章。</w:t>
            </w:r>
          </w:p>
        </w:tc>
        <w:tc>
          <w:tcPr>
            <w:tcW w:type="dxa" w:w="1661"/>
          </w:tcPr>
          <w:p>
            <w:pPr>
              <w:pStyle w:val="null3"/>
            </w:pPr>
            <w:r>
              <w:rPr/>
              <w:t>技术条款偏离表 服务内容及服务邀请应答表 法定代表人授权委托书 中小企业声明函 人员配备一览表 商务应答表 法定代表人身份证明 供应商应提交的相关资格证明材料 报价表 商务条款偏离表 业绩一览表 响应文件封面 其他资料 残疾人福利性单位声明函 服务方案 标的清单 陕西省政府采购供应商拒绝政府采购领域商业贿赂承诺书 无不良信用记录承诺函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应符合“磋商文件格式”要求。</w:t>
            </w:r>
          </w:p>
        </w:tc>
        <w:tc>
          <w:tcPr>
            <w:tcW w:type="dxa" w:w="1661"/>
          </w:tcPr>
          <w:p>
            <w:pPr>
              <w:pStyle w:val="null3"/>
            </w:pPr>
            <w:r>
              <w:rPr/>
              <w:t>技术条款偏离表 服务内容及服务邀请应答表 法定代表人授权委托书 中小企业声明函 人员配备一览表 商务应答表 法定代表人身份证明 供应商应提交的相关资格证明材料 报价表 商务条款偏离表 业绩一览表 响应文件封面 其他资料 残疾人福利性单位声明函 服务方案 标的清单 陕西省政府采购供应商拒绝政府采购领域商业贿赂承诺书 无不良信用记录承诺函 响应函 监狱企业的证明文件</w:t>
            </w:r>
          </w:p>
        </w:tc>
      </w:tr>
      <w:tr>
        <w:tc>
          <w:tcPr>
            <w:tcW w:type="dxa" w:w="831"/>
          </w:tcPr>
          <w:p>
            <w:pPr>
              <w:pStyle w:val="null3"/>
            </w:pPr>
            <w:r>
              <w:rPr/>
              <w:t>5</w:t>
            </w:r>
          </w:p>
        </w:tc>
        <w:tc>
          <w:tcPr>
            <w:tcW w:type="dxa" w:w="2492"/>
          </w:tcPr>
          <w:p>
            <w:pPr>
              <w:pStyle w:val="null3"/>
            </w:pPr>
            <w:r>
              <w:rPr/>
              <w:t>对磋商文件的响应程度</w:t>
            </w:r>
          </w:p>
        </w:tc>
        <w:tc>
          <w:tcPr>
            <w:tcW w:type="dxa" w:w="3322"/>
          </w:tcPr>
          <w:p>
            <w:pPr>
              <w:pStyle w:val="null3"/>
            </w:pPr>
            <w:r>
              <w:rPr/>
              <w:t>要求全面响应，不能有任何采购人不能接受的附加条件。</w:t>
            </w:r>
          </w:p>
        </w:tc>
        <w:tc>
          <w:tcPr>
            <w:tcW w:type="dxa" w:w="1661"/>
          </w:tcPr>
          <w:p>
            <w:pPr>
              <w:pStyle w:val="null3"/>
            </w:pPr>
            <w:r>
              <w:rPr/>
              <w:t>技术条款偏离表 服务内容及服务邀请应答表 商务应答表 商务条款偏离表</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总体技术服务方案</w:t>
            </w:r>
          </w:p>
        </w:tc>
        <w:tc>
          <w:tcPr>
            <w:tcW w:type="dxa" w:w="2492"/>
          </w:tcPr>
          <w:p>
            <w:pPr>
              <w:pStyle w:val="null3"/>
            </w:pPr>
            <w:r>
              <w:rPr/>
              <w:t>针对本项目详细的总体服务方案，根据方案的科学性、合理性、针对性综合评审。 方案完整、科学，可操作性强得(15-20]分； 方案比较完整、科学，可操作性较强得(10-15]分； 方案相对科学，可操作性相对较强得(5-10]分； 方案基本科学，有一定的可操作性得(1-5]分； 方案有缺失，可操作性差，得[0-1] 分； 无内容不得分。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测序结果对分析编写方案</w:t>
            </w:r>
          </w:p>
        </w:tc>
        <w:tc>
          <w:tcPr>
            <w:tcW w:type="dxa" w:w="2492"/>
          </w:tcPr>
          <w:p>
            <w:pPr>
              <w:pStyle w:val="null3"/>
            </w:pPr>
            <w:r>
              <w:rPr/>
              <w:t>针对本项目实际和采购人需求，制定测序和序列比对分析方案。 方案全面、合理、规范，可操作性强得(8-10]分； 方案比较合理和规范，有较强的可操作性得(6-8]分； 方案基本合理，有一定的可操作性得 (4-6]分； 方案不太合理，可操作性不强得(1-4]分； 方案有缺漏，可操作性差得[0-1]分； 无内容不得分。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测序服务保障措施</w:t>
            </w:r>
          </w:p>
        </w:tc>
        <w:tc>
          <w:tcPr>
            <w:tcW w:type="dxa" w:w="2492"/>
          </w:tcPr>
          <w:p>
            <w:pPr>
              <w:pStyle w:val="null3"/>
            </w:pPr>
            <w:r>
              <w:rPr/>
              <w:t>针对本项目实际，制定测序保障措施。 措施全面、合理、规范，可操作性强得 (4-5] 分； 措施比较合理和规范，有较强的可操作性得(3-4]分； 措施基本合理，有一定的可操作性得(2-3]分； 措施不太合理，可操作性不强得(1-2]分； 措施有缺漏，可操作性差得[0-1] 分； 无内容不得分。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针对本项目实际，制定应对各种突发事件的应急预案。 预案全面、合理、规范，可操作性强得(4-5]； 预案比较合理和规范，有较强的可操作性得(3-4]分； 预案基本合理，有一定的可操作性得(2-3] 分； 预案不太合理，可操作性不强得(1-2]分； 预案有缺漏，可操作性差得 [0-1] 分； 无内容不得分。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拟投入本项目监测的相关设备</w:t>
            </w:r>
          </w:p>
        </w:tc>
        <w:tc>
          <w:tcPr>
            <w:tcW w:type="dxa" w:w="2492"/>
          </w:tcPr>
          <w:p>
            <w:pPr>
              <w:pStyle w:val="null3"/>
            </w:pPr>
            <w:r>
              <w:rPr/>
              <w:t>根据投入的具有符合监测要求的仪器设备，提供仪器设备一览表。从监测 设备数量、监测能力进行评审。 设备数量数量充足、监测能力先进，能够满足大批量样品的监测周期需要 得 (4-5]分； 设备数量相对充足，监测能力相对先进，相对能够满足大批量样品的监测 周期需要得 (3-4]分； 设备数量基本满足要求，监测能力基本能保障项目需要得(2-3]分； 设备数量存在不足，监测能力有缺陷得(1-2] 分； 设备数量存在严重不足，不能满足监测要求得 [0-1] 分； 注：以自有发票或租赁合同电子件或扫描件为准。 无内容不得分。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拟投入本项目实施服务人员</w:t>
            </w:r>
          </w:p>
        </w:tc>
        <w:tc>
          <w:tcPr>
            <w:tcW w:type="dxa" w:w="2492"/>
          </w:tcPr>
          <w:p>
            <w:pPr>
              <w:pStyle w:val="null3"/>
            </w:pPr>
            <w:r>
              <w:rPr/>
              <w:t>根据供应商提供的拟派项目实施服务人员情况进行评审。 拟投入人员结构合理，经验丰富，能够满足监测服务需要得(7-10]分； 拟投入人员结构比较合理，经验比较丰富，较能满足监测服务需要得(4-7]分； 拟投入人员结构基本合理，有基本的从业经验，基本能够满足监测服务需 要得 (1-5]分； 拟投入人员结构不够合理，经验有欠缺，不能够满足监测服务需要得[0-1] 分； 无内容不得分。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服务质量保证措施</w:t>
            </w:r>
          </w:p>
        </w:tc>
        <w:tc>
          <w:tcPr>
            <w:tcW w:type="dxa" w:w="2492"/>
          </w:tcPr>
          <w:p>
            <w:pPr>
              <w:pStyle w:val="null3"/>
            </w:pPr>
            <w:r>
              <w:rPr/>
              <w:t>结合本项目实际情况，有详细完整的服务质量保证措施。 措施详细完整、可行性、针对性强，能高质量的确保项目服务质量，得 (12-15]分； 保障措施比较完整，可行性及针对性较强以保证项目质量，得 (9-12]分； 保障措施相对完整，有一定的可行性及针对性以保证项目质量，得(6-9]分； 保障措施简略、可行性存在不足，得(3-6] 分； 保障措施存在漏洞、合理性、可行性差，得(1-3]分； 保障措施存在重大缺漏，几乎不存在可行性，得[0-1]分； 无内容不得分。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具有科学、合理、可行的保密措施，保证相关信息不被泄漏。 保密措施完整、合理，可操作性强得 (4-5]分； 保密措施比较完整，可操作性较强得 (3-4] 分； 保密措施基本完整，有一定可操作性得(2-3]分； 保密措施简略，可操作性一般得(1-2]分； 保密措施不够完整，可操作性差得[0-1]分； 未提供相关内容不得分。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安全保障措施</w:t>
            </w:r>
          </w:p>
        </w:tc>
        <w:tc>
          <w:tcPr>
            <w:tcW w:type="dxa" w:w="2492"/>
          </w:tcPr>
          <w:p>
            <w:pPr>
              <w:pStyle w:val="null3"/>
            </w:pPr>
            <w:r>
              <w:rPr/>
              <w:t>针对本项目实际，制定测序服务过程中样品、人身等安全保证措施。 措施完整、合理，可操作性强得 (4-5]分； 措施比较完整，可操作性较强得 (3-4] 分； 措施基本完整，有一定可操作性得(2-3]分； 措施简略，可操作性一般得(1-2]分； 措施不够完整，可操作性差得 [0-1]分； 未提供相关内容不得分。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类似业绩</w:t>
            </w:r>
          </w:p>
        </w:tc>
        <w:tc>
          <w:tcPr>
            <w:tcW w:type="dxa" w:w="2492"/>
          </w:tcPr>
          <w:p>
            <w:pPr>
              <w:pStyle w:val="null3"/>
            </w:pPr>
            <w:r>
              <w:rPr/>
              <w:t>供应商应在竞争性磋商响应文件中提供该供应商自 2021 年 04月 01 日起至 今类似项目业绩，每提供一份业绩合同得2 分，满分为 10分，不得重复累计。 注：以合同签订时间为准，供应商应在竞争性磋商响应文件中提供业绩合同电子件或扫描件。</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1、满足竞争性磋商文件要求且评审报价最低的报价为评标基准价，其价格分为满分。其他供应商的价格分统一按照下列公式计算： 磋商报价得分=（评标基准价/磋商报价）×价格权值。 2、价格分值：10 分。 3、报价不完整的，不进入评标基准价的计算，本项得 0 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详见附件：陕西省政府采购供应商拒绝政府采购领域商业贿赂承诺书</w:t>
      </w:r>
    </w:p>
    <w:p>
      <w:pPr>
        <w:pStyle w:val="null3"/>
        <w:ind w:firstLine="960"/>
      </w:pPr>
      <w:r>
        <w:rPr/>
        <w:t>详见附件：法定代表人身份证明</w:t>
      </w:r>
    </w:p>
    <w:p>
      <w:pPr>
        <w:pStyle w:val="null3"/>
        <w:ind w:firstLine="960"/>
      </w:pPr>
      <w:r>
        <w:rPr/>
        <w:t>详见附件：法定代表人授权委托书</w:t>
      </w:r>
    </w:p>
    <w:p>
      <w:pPr>
        <w:pStyle w:val="null3"/>
        <w:ind w:firstLine="960"/>
      </w:pPr>
      <w:r>
        <w:rPr/>
        <w:t>详见附件：技术条款偏离表</w:t>
      </w:r>
    </w:p>
    <w:p>
      <w:pPr>
        <w:pStyle w:val="null3"/>
        <w:ind w:firstLine="960"/>
      </w:pPr>
      <w:r>
        <w:rPr/>
        <w:t>详见附件：商务条款偏离表</w:t>
      </w:r>
    </w:p>
    <w:p>
      <w:pPr>
        <w:pStyle w:val="null3"/>
        <w:ind w:firstLine="960"/>
      </w:pPr>
      <w:r>
        <w:rPr/>
        <w:t>详见附件：其他资料</w:t>
      </w:r>
    </w:p>
    <w:p>
      <w:pPr>
        <w:pStyle w:val="null3"/>
        <w:ind w:firstLine="960"/>
      </w:pPr>
      <w:r>
        <w:rPr/>
        <w:t>详见附件：业绩一览表</w:t>
      </w:r>
    </w:p>
    <w:p>
      <w:pPr>
        <w:pStyle w:val="null3"/>
        <w:ind w:firstLine="960"/>
      </w:pPr>
      <w:r>
        <w:rPr/>
        <w:t>详见附件：无不良信用记录承诺函</w:t>
      </w:r>
    </w:p>
    <w:p>
      <w:pPr>
        <w:pStyle w:val="null3"/>
        <w:ind w:firstLine="960"/>
      </w:pPr>
      <w:r>
        <w:rPr/>
        <w:t>详见附件：人员配备一览表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详见附件：服 务 合 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