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080" w:leftChars="257" w:hanging="540"/>
        <w:jc w:val="center"/>
        <w:outlineLvl w:val="0"/>
        <w:rPr>
          <w:rFonts w:hint="eastAsia" w:eastAsia="仿宋_GB2312"/>
          <w:color w:val="000000"/>
          <w:sz w:val="32"/>
          <w:szCs w:val="32"/>
          <w:lang w:eastAsia="zh-CN"/>
        </w:rPr>
      </w:pPr>
      <w:bookmarkStart w:id="0" w:name="_Toc6865"/>
      <w:bookmarkStart w:id="1" w:name="_Toc4796"/>
      <w:bookmarkStart w:id="2" w:name="_Toc515647833"/>
      <w:bookmarkStart w:id="3" w:name="_Toc532473757"/>
      <w:bookmarkStart w:id="4" w:name="_Toc532044541"/>
      <w:bookmarkStart w:id="5" w:name="_Toc18611"/>
      <w:bookmarkStart w:id="6" w:name="_Toc16823"/>
      <w:bookmarkStart w:id="7" w:name="_Toc29390"/>
      <w:bookmarkStart w:id="8" w:name="_Toc464"/>
      <w:r>
        <w:rPr>
          <w:rStyle w:val="7"/>
          <w:rFonts w:ascii="Times New Roman" w:eastAsia="仿宋_GB2312"/>
          <w:color w:val="000000"/>
          <w:szCs w:val="32"/>
        </w:rPr>
        <w:t>合同</w:t>
      </w:r>
      <w:bookmarkEnd w:id="0"/>
      <w:bookmarkEnd w:id="1"/>
      <w:bookmarkEnd w:id="2"/>
      <w:bookmarkEnd w:id="3"/>
      <w:bookmarkEnd w:id="4"/>
      <w:bookmarkStart w:id="9" w:name="_Hlt487972895"/>
      <w:bookmarkEnd w:id="9"/>
      <w:bookmarkStart w:id="10" w:name="_Toc216513788"/>
      <w:bookmarkStart w:id="11" w:name="_Toc487900382"/>
      <w:r>
        <w:rPr>
          <w:rStyle w:val="7"/>
          <w:rFonts w:ascii="Times New Roman" w:eastAsia="仿宋_GB2312"/>
          <w:color w:val="000000"/>
          <w:szCs w:val="32"/>
        </w:rPr>
        <w:t>文本</w:t>
      </w:r>
      <w:bookmarkEnd w:id="5"/>
      <w:bookmarkEnd w:id="6"/>
      <w:bookmarkEnd w:id="7"/>
      <w:bookmarkEnd w:id="8"/>
      <w:r>
        <w:rPr>
          <w:rStyle w:val="7"/>
          <w:rFonts w:hint="eastAsia" w:eastAsia="仿宋_GB2312"/>
          <w:color w:val="000000"/>
          <w:szCs w:val="32"/>
          <w:lang w:eastAsia="zh-CN"/>
        </w:rPr>
        <w:t>（参考）</w:t>
      </w:r>
    </w:p>
    <w:bookmarkEnd w:id="10"/>
    <w:bookmarkEnd w:id="11"/>
    <w:p>
      <w:pPr>
        <w:tabs>
          <w:tab w:val="left" w:pos="735"/>
        </w:tabs>
        <w:autoSpaceDE w:val="0"/>
        <w:autoSpaceDN w:val="0"/>
        <w:adjustRightInd w:val="0"/>
        <w:snapToGrid w:val="0"/>
        <w:spacing w:before="240" w:beforeLines="100" w:line="360" w:lineRule="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pPr>
        <w:tabs>
          <w:tab w:val="left" w:pos="735"/>
        </w:tabs>
        <w:autoSpaceDE w:val="0"/>
        <w:autoSpaceDN w:val="0"/>
        <w:adjustRightInd w:val="0"/>
        <w:snapToGrid w:val="0"/>
        <w:spacing w:line="360" w:lineRule="auto"/>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pPr>
        <w:adjustRightInd w:val="0"/>
        <w:snapToGrid w:val="0"/>
        <w:spacing w:line="360" w:lineRule="auto"/>
        <w:ind w:firstLine="480" w:firstLineChars="200"/>
        <w:rPr>
          <w:rFonts w:hint="eastAsia" w:ascii="仿宋" w:hAnsi="仿宋" w:eastAsia="仿宋" w:cs="仿宋"/>
          <w:sz w:val="24"/>
        </w:rPr>
      </w:pPr>
      <w:bookmarkStart w:id="12" w:name="_Toc19515384"/>
      <w:r>
        <w:rPr>
          <w:rFonts w:hint="eastAsia" w:ascii="仿宋" w:hAnsi="仿宋" w:eastAsia="仿宋" w:cs="仿宋"/>
          <w:sz w:val="24"/>
        </w:rPr>
        <w:t>一、合同内容（标的、数量、质量等）:</w:t>
      </w:r>
      <w:bookmarkEnd w:id="12"/>
    </w:p>
    <w:p>
      <w:pPr>
        <w:adjustRightInd w:val="0"/>
        <w:snapToGrid w:val="0"/>
        <w:spacing w:line="360" w:lineRule="auto"/>
        <w:ind w:firstLine="480" w:firstLineChars="200"/>
        <w:rPr>
          <w:rFonts w:hint="eastAsia" w:ascii="仿宋" w:hAnsi="仿宋" w:eastAsia="仿宋" w:cs="仿宋"/>
          <w:sz w:val="24"/>
        </w:rPr>
      </w:pPr>
      <w:bookmarkStart w:id="13" w:name="_Toc19515385"/>
      <w:r>
        <w:rPr>
          <w:rFonts w:hint="eastAsia" w:ascii="仿宋" w:hAnsi="仿宋" w:eastAsia="仿宋" w:cs="仿宋"/>
          <w:sz w:val="24"/>
        </w:rPr>
        <w:t>二、合同价款</w:t>
      </w:r>
      <w:bookmarkEnd w:id="13"/>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（一）合同总价：合同总价款为人民币（大写）</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（二）合同总价包括但不限于系统开发建设费、运行维护费、培训费、人工费、管理费、税金等完成本项目所需的全部费用。</w:t>
      </w:r>
    </w:p>
    <w:p>
      <w:pPr>
        <w:rPr>
          <w:rFonts w:hint="eastAsia"/>
          <w:highlight w:val="none"/>
          <w:lang w:eastAsia="zh-CN"/>
        </w:rPr>
      </w:pPr>
      <w:r>
        <w:rPr>
          <w:rFonts w:hint="eastAsia" w:ascii="仿宋" w:hAnsi="仿宋" w:eastAsia="仿宋" w:cs="仿宋"/>
          <w:sz w:val="24"/>
        </w:rPr>
        <w:t>（三）合</w:t>
      </w:r>
      <w:r>
        <w:rPr>
          <w:rFonts w:hint="eastAsia" w:ascii="仿宋" w:hAnsi="仿宋" w:eastAsia="仿宋" w:cs="仿宋"/>
          <w:sz w:val="24"/>
          <w:highlight w:val="none"/>
        </w:rPr>
        <w:t>同为</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，不受市场价变化的影响。</w:t>
      </w:r>
    </w:p>
    <w:p>
      <w:pPr>
        <w:adjustRightInd w:val="0"/>
        <w:snapToGrid w:val="0"/>
        <w:spacing w:line="360" w:lineRule="auto"/>
        <w:ind w:firstLine="480" w:firstLineChars="200"/>
        <w:rPr>
          <w:rFonts w:hint="eastAsia" w:ascii="仿宋" w:hAnsi="仿宋" w:eastAsia="仿宋" w:cs="仿宋"/>
          <w:sz w:val="24"/>
          <w:highlight w:val="none"/>
          <w:lang w:eastAsia="zh-CN"/>
        </w:rPr>
      </w:pPr>
    </w:p>
    <w:p>
      <w:pPr>
        <w:adjustRightInd w:val="0"/>
        <w:snapToGrid w:val="0"/>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发包人提出变更的，应通过监理人向承包人发出变更指示，变更指示应说明计划变更的工程范围和变更的内容。涉及设计变更的，应由设计人提供变更后的图纸和说明。如变更超过原设计标准或批准的建设规模时，发包人应及时办理规划、设计变更等审批手续。</w:t>
      </w:r>
    </w:p>
    <w:p>
      <w:pPr>
        <w:adjustRightInd w:val="0"/>
        <w:snapToGrid w:val="0"/>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关于变更估价的约定:  1、合同中已有适用于变更工程项目的价格，按合同已有的价格变更合同价款 。2合同中只有类似于变更工程项目的价格，可参照类似价格变更合同价款 。3合同没有类似于变更工程项目的价格，应由承包人提出适当的变更价格，经发包人确认后执行   。</w:t>
      </w:r>
    </w:p>
    <w:p>
      <w:pPr>
        <w:adjustRightInd w:val="0"/>
        <w:snapToGrid w:val="0"/>
        <w:spacing w:line="360" w:lineRule="auto"/>
        <w:ind w:firstLine="480" w:firstLineChars="200"/>
        <w:rPr>
          <w:rFonts w:hint="eastAsia" w:ascii="仿宋" w:hAnsi="仿宋" w:eastAsia="仿宋" w:cs="仿宋"/>
          <w:sz w:val="24"/>
        </w:rPr>
      </w:pPr>
    </w:p>
    <w:p>
      <w:pPr>
        <w:adjustRightInd w:val="0"/>
        <w:snapToGrid w:val="0"/>
        <w:spacing w:line="360" w:lineRule="auto"/>
        <w:ind w:firstLine="480" w:firstLineChars="200"/>
        <w:rPr>
          <w:rFonts w:hint="eastAsia" w:ascii="仿宋" w:hAnsi="仿宋" w:eastAsia="仿宋" w:cs="仿宋"/>
          <w:sz w:val="24"/>
        </w:rPr>
      </w:pPr>
      <w:bookmarkStart w:id="14" w:name="_Toc19515386"/>
      <w:r>
        <w:rPr>
          <w:rFonts w:hint="eastAsia" w:ascii="仿宋" w:hAnsi="仿宋" w:eastAsia="仿宋" w:cs="仿宋"/>
          <w:sz w:val="24"/>
        </w:rPr>
        <w:t>三、合同结算</w:t>
      </w:r>
      <w:bookmarkEnd w:id="14"/>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（一）付款比例：</w:t>
      </w:r>
    </w:p>
    <w:p>
      <w:pPr>
        <w:spacing w:line="360" w:lineRule="auto"/>
        <w:ind w:firstLine="600" w:firstLineChars="250"/>
        <w:rPr>
          <w:rFonts w:hint="eastAsia" w:ascii="仿宋" w:hAnsi="仿宋" w:eastAsia="仿宋" w:cs="仿宋"/>
          <w:sz w:val="24"/>
          <w:lang w:eastAsia="zh-CN"/>
        </w:rPr>
      </w:pPr>
      <w:r>
        <w:rPr>
          <w:rFonts w:hint="eastAsia" w:ascii="仿宋" w:hAnsi="仿宋" w:eastAsia="仿宋" w:cs="仿宋"/>
          <w:sz w:val="24"/>
          <w:lang w:val="en-US" w:eastAsia="zh-CN"/>
        </w:rPr>
        <w:t xml:space="preserve">1、 付款条件说明： 合同签订后（预付款） ，达到付款条件起 7 日内，支付合同总金额的 30.00%。 </w:t>
      </w:r>
    </w:p>
    <w:p>
      <w:pPr>
        <w:spacing w:line="360" w:lineRule="auto"/>
        <w:ind w:firstLine="600" w:firstLineChars="250"/>
        <w:rPr>
          <w:rFonts w:hint="eastAsia" w:ascii="仿宋" w:hAnsi="仿宋" w:eastAsia="仿宋" w:cs="仿宋"/>
          <w:sz w:val="24"/>
          <w:lang w:eastAsia="zh-CN"/>
        </w:rPr>
      </w:pPr>
      <w:r>
        <w:rPr>
          <w:rFonts w:hint="eastAsia" w:ascii="仿宋" w:hAnsi="仿宋" w:eastAsia="仿宋" w:cs="仿宋"/>
          <w:sz w:val="24"/>
          <w:lang w:val="en-US" w:eastAsia="zh-CN"/>
        </w:rPr>
        <w:t xml:space="preserve">2、 付款条件说明： 项目完成并全面验收合格后 ，达到付款条件起 7 日内，支付合同总金额的 65.00%。 </w:t>
      </w:r>
    </w:p>
    <w:p>
      <w:pPr>
        <w:spacing w:line="360" w:lineRule="auto"/>
        <w:ind w:firstLine="600" w:firstLineChars="250"/>
        <w:rPr>
          <w:rFonts w:hint="eastAsia" w:ascii="仿宋" w:hAnsi="仿宋" w:eastAsia="仿宋" w:cs="仿宋"/>
          <w:sz w:val="24"/>
          <w:lang w:eastAsia="zh-CN"/>
        </w:rPr>
      </w:pPr>
      <w:r>
        <w:rPr>
          <w:rFonts w:hint="eastAsia" w:ascii="仿宋" w:hAnsi="仿宋" w:eastAsia="仿宋" w:cs="仿宋"/>
          <w:sz w:val="24"/>
          <w:lang w:val="en-US" w:eastAsia="zh-CN"/>
        </w:rPr>
        <w:t>3、 付款条件说明： 质量期2年，质保期满后 ，达到付款条件起 7 日内，支付合同总金额的 5.00%。</w:t>
      </w:r>
    </w:p>
    <w:p>
      <w:pPr>
        <w:spacing w:line="360" w:lineRule="auto"/>
        <w:ind w:firstLine="600" w:firstLineChars="250"/>
        <w:rPr>
          <w:rFonts w:hint="eastAsia" w:ascii="仿宋" w:hAnsi="仿宋" w:eastAsia="仿宋" w:cs="仿宋"/>
          <w:sz w:val="24"/>
          <w:lang w:eastAsia="zh-CN"/>
        </w:rPr>
      </w:pPr>
      <w:r>
        <w:rPr>
          <w:rFonts w:hint="eastAsia" w:ascii="仿宋" w:hAnsi="仿宋" w:eastAsia="仿宋" w:cs="仿宋"/>
          <w:sz w:val="24"/>
          <w:lang w:eastAsia="zh-CN"/>
        </w:rPr>
        <w:t>以上款项均需乙方先开具发票甲方再行支付。</w:t>
      </w:r>
    </w:p>
    <w:p>
      <w:pPr>
        <w:spacing w:line="360" w:lineRule="auto"/>
        <w:ind w:firstLine="600" w:firstLineChars="250"/>
        <w:rPr>
          <w:rFonts w:hint="eastAsia" w:ascii="仿宋" w:hAnsi="仿宋" w:eastAsia="仿宋" w:cs="仿宋"/>
          <w:color w:val="FF0000"/>
          <w:sz w:val="24"/>
          <w:highlight w:val="yellow"/>
        </w:rPr>
      </w:pPr>
    </w:p>
    <w:p>
      <w:pPr>
        <w:spacing w:line="360" w:lineRule="auto"/>
        <w:ind w:firstLine="600" w:firstLineChars="250"/>
        <w:rPr>
          <w:rFonts w:hint="eastAsia" w:ascii="仿宋" w:hAnsi="仿宋" w:eastAsia="仿宋" w:cs="仿宋"/>
          <w:sz w:val="24"/>
        </w:rPr>
      </w:pPr>
      <w:r>
        <w:rPr>
          <w:rFonts w:hint="eastAsia" w:ascii="仿宋" w:hAnsi="仿宋" w:eastAsia="仿宋" w:cs="仿宋"/>
          <w:sz w:val="24"/>
        </w:rPr>
        <w:t>2、甲方付款前，乙方需按照甲方要求提供发票，否则甲方有权拒付费用且不承担任何责任。</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（二）结算方式：银行转账。</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（三）结算单位：由</w:t>
      </w:r>
      <w:r>
        <w:rPr>
          <w:rFonts w:hint="eastAsia" w:ascii="仿宋" w:hAnsi="仿宋" w:eastAsia="仿宋" w:cs="仿宋"/>
          <w:sz w:val="24"/>
          <w:u w:val="single"/>
        </w:rPr>
        <w:t xml:space="preserve"> 采购人 </w:t>
      </w:r>
      <w:r>
        <w:rPr>
          <w:rFonts w:hint="eastAsia" w:ascii="仿宋" w:hAnsi="仿宋" w:eastAsia="仿宋" w:cs="仿宋"/>
          <w:sz w:val="24"/>
        </w:rPr>
        <w:t>负责结算，乙方开具合同总价数的全额发票交采购人。</w:t>
      </w:r>
    </w:p>
    <w:p>
      <w:pPr>
        <w:adjustRightInd w:val="0"/>
        <w:snapToGrid w:val="0"/>
        <w:spacing w:line="360" w:lineRule="auto"/>
        <w:ind w:firstLine="480" w:firstLineChars="200"/>
        <w:rPr>
          <w:rFonts w:hint="eastAsia" w:ascii="仿宋" w:hAnsi="仿宋" w:eastAsia="仿宋" w:cs="仿宋"/>
          <w:sz w:val="24"/>
        </w:rPr>
      </w:pPr>
      <w:bookmarkStart w:id="15" w:name="_Toc19515387"/>
      <w:r>
        <w:rPr>
          <w:rFonts w:hint="eastAsia" w:ascii="仿宋" w:hAnsi="仿宋" w:eastAsia="仿宋" w:cs="仿宋"/>
          <w:sz w:val="24"/>
        </w:rPr>
        <w:t>四、履行期限、地点及方式:</w:t>
      </w:r>
      <w:bookmarkEnd w:id="15"/>
    </w:p>
    <w:p>
      <w:pPr>
        <w:pStyle w:val="3"/>
        <w:ind w:firstLine="480" w:firstLineChars="200"/>
        <w:rPr>
          <w:rFonts w:hint="default" w:ascii="仿宋" w:hAnsi="仿宋" w:eastAsia="仿宋" w:cs="仿宋"/>
          <w:kern w:val="2"/>
          <w:sz w:val="24"/>
          <w:szCs w:val="24"/>
          <w:lang w:val="en-US" w:eastAsia="zh-CN" w:bidi="ar-SA"/>
        </w:rPr>
      </w:pPr>
      <w:r>
        <w:rPr>
          <w:rFonts w:hint="eastAsia" w:ascii="仿宋" w:hAnsi="仿宋" w:eastAsia="仿宋" w:cs="仿宋"/>
        </w:rPr>
        <w:t>（一）</w:t>
      </w:r>
      <w:r>
        <w:rPr>
          <w:rFonts w:hint="eastAsia" w:ascii="仿宋" w:hAnsi="仿宋" w:eastAsia="仿宋" w:cs="仿宋"/>
          <w:szCs w:val="24"/>
        </w:rPr>
        <w:t>履行期</w:t>
      </w:r>
      <w:r>
        <w:rPr>
          <w:rFonts w:hint="eastAsia" w:ascii="仿宋" w:hAnsi="仿宋" w:eastAsia="仿宋" w:cs="仿宋"/>
          <w:kern w:val="2"/>
          <w:sz w:val="24"/>
          <w:szCs w:val="24"/>
          <w:lang w:val="en-US" w:eastAsia="zh-CN" w:bidi="ar-SA"/>
        </w:rPr>
        <w:t>限：2年</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（二）地点：采购人指定地点</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（三）方式：采购人指定方式</w:t>
      </w:r>
      <w:bookmarkStart w:id="22" w:name="_GoBack"/>
      <w:bookmarkEnd w:id="22"/>
    </w:p>
    <w:p>
      <w:pPr>
        <w:adjustRightInd w:val="0"/>
        <w:snapToGrid w:val="0"/>
        <w:spacing w:line="360" w:lineRule="auto"/>
        <w:ind w:firstLine="480" w:firstLineChars="200"/>
        <w:rPr>
          <w:rFonts w:hint="eastAsia" w:ascii="仿宋" w:hAnsi="仿宋" w:eastAsia="仿宋" w:cs="仿宋"/>
          <w:sz w:val="24"/>
        </w:rPr>
      </w:pPr>
      <w:bookmarkStart w:id="16" w:name="_Toc19515390"/>
      <w:r>
        <w:rPr>
          <w:rFonts w:hint="eastAsia" w:ascii="仿宋" w:hAnsi="仿宋" w:eastAsia="仿宋" w:cs="仿宋"/>
          <w:sz w:val="24"/>
        </w:rPr>
        <w:t>五、技术服务</w:t>
      </w:r>
      <w:bookmarkEnd w:id="16"/>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（一）对技术服务的要求：</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（二）技术资料：</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（三）技术培训：</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1、培训内容：</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2、培训地点：</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3、培训时间：</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4、培训人数：</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5、培训费用：受训人员的食宿费、资料费、培训场地费、耗材（包括水电费等）费等已包含在合同总价中，甲方不再另行支付。</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（四）售后服务</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highlight w:val="yellow"/>
          <w:lang w:val="en-US" w:eastAsia="zh-CN"/>
        </w:rPr>
        <w:t>本项目质保期为系统上线后二年，质保期内</w:t>
      </w:r>
      <w:r>
        <w:rPr>
          <w:rFonts w:hint="eastAsia" w:ascii="仿宋" w:hAnsi="仿宋" w:eastAsia="仿宋" w:cs="仿宋"/>
          <w:sz w:val="24"/>
        </w:rPr>
        <w:t>乙方在接到甲方电话通知后在</w:t>
      </w:r>
      <w:r>
        <w:rPr>
          <w:rFonts w:hint="eastAsia" w:ascii="仿宋" w:hAnsi="仿宋" w:eastAsia="仿宋" w:cs="仿宋"/>
          <w:sz w:val="24"/>
          <w:u w:val="single"/>
        </w:rPr>
        <w:t xml:space="preserve"> 8</w:t>
      </w:r>
      <w:r>
        <w:rPr>
          <w:rFonts w:hint="eastAsia" w:ascii="仿宋" w:hAnsi="仿宋" w:eastAsia="仿宋" w:cs="仿宋"/>
          <w:sz w:val="24"/>
        </w:rPr>
        <w:t>小时内派出合格的服务人员到达现场进行服务，并自行承担相应费用。</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2、如果乙方在收到通知后两天内没有弥补缺陷，甲方可采取必要的补救措施，但其风险和费用将由乙方承担，甲方根据合同规定对乙方行使的其它权力不受影响。</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六、双方的权利和义务</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（一）甲方的权利与义务</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1、甲方负责配合本次项目服务工作；</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2、甲方应按本合同的约定向乙方支付合同价款；</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3、甲方根据需要对乙方提供的设计方案进行审核，提供建议及意见，确定最终实施的服务方案，以便乙方遵照执行；</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4、甲方有权对乙方的工作进行监督和考核。</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（二）乙方的权利与义务</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1、乙方的工作人员必须严格遵守甲方的规章制度，以良好的形象和积极的工作态度，按甲方要求开展工作；</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2、乙方应服从甲方统筹管理并按流程开展工作；</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3、乙方提交的方案等应得到甲方确认再予以实施；</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4、乙方在服务期间发布的任何涉及有关甲方的相关信息，需经甲方确认无误后方可发布。</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七、服务质量保证</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（一）乙方需派一名项目经理，直接与甲方沟通，项目经理接收甲方提出的问题与要求，并及时反馈给工作组，解决在项目实施过程中遇到的问题。</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（二）项目在实施过程中会出现不可预料的需求变更，乙方需积极配合甲方的需求变更，并按照变更后的需求继续进行方案实施。</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（三）乙方需提交所有实施方案流程及说明文档。</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（四）乙方需建立高效的管理团队，项目团队组成合理。</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（五）乙方需设有详细的技术资料档案和服务档案，将保存项目的详细资料以便于更好地提供服务。</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八、保密规定</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九、知识产权</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(一)本项目知识产权归甲方所有。</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(二)乙方无论出于任何目的如在其他地方使用该成果，必须经甲方同意方可使用。否则，甲方有权要求终止涉及到该中标知识产权的任何使用活动并保留追究卖方相应的法律责任的权利。</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(三)乙方为执行本合同而提供的技术资料使用权归甲方所有。</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十、其他事项</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(一)乙方不得转让给其它单位或个人。</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(二)乙方的响应文件和承诺等内容将列入合同。</w:t>
      </w:r>
    </w:p>
    <w:p>
      <w:pPr>
        <w:adjustRightInd w:val="0"/>
        <w:snapToGrid w:val="0"/>
        <w:spacing w:line="360" w:lineRule="auto"/>
        <w:ind w:firstLine="480" w:firstLineChars="200"/>
        <w:rPr>
          <w:rFonts w:hint="eastAsia" w:ascii="仿宋" w:hAnsi="仿宋" w:eastAsia="仿宋" w:cs="仿宋"/>
          <w:sz w:val="24"/>
        </w:rPr>
      </w:pPr>
      <w:bookmarkStart w:id="17" w:name="_Toc19515391"/>
      <w:r>
        <w:rPr>
          <w:rFonts w:hint="eastAsia" w:ascii="仿宋" w:hAnsi="仿宋" w:eastAsia="仿宋" w:cs="仿宋"/>
          <w:sz w:val="24"/>
        </w:rPr>
        <w:t>十一、验收</w:t>
      </w:r>
      <w:bookmarkEnd w:id="17"/>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（一）本项目验收费用，由乙方自行承担。</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验收：乙方应保证合同项下所供货物是合同规定厂家制造的、全新的、未使用过的，并完全符合合同规定的质量、规格和性能要求的合格产品。乙方应保证其货物在正确安装、正常使用和保养条件下，在其使用寿命期内应具有满意的性能。在货物的质量保证期内，乙方对由于设计、工艺或材料的缺陷而产生的故障负责。</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w:t>
      </w:r>
      <w:r>
        <w:rPr>
          <w:rFonts w:hint="eastAsia"/>
        </w:rPr>
        <w:t xml:space="preserve"> </w:t>
      </w:r>
      <w:r>
        <w:rPr>
          <w:rFonts w:hint="eastAsia" w:ascii="仿宋" w:hAnsi="仿宋" w:eastAsia="仿宋" w:cs="仿宋"/>
          <w:sz w:val="24"/>
        </w:rPr>
        <w:t>乙方完成服务内容后，向甲方递交验收通知书，经甲方确认后，组织乙方进行系统验收（必要时可聘请相应专家或委托相应部门验收，需要国家法定检验部门进行检验或验收的由乙方负责联系）。验收合格后，出具使用验收合格证明，填写政府采购项目验收单作为对本次服务的最终认可。</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(四)最终验收：最终验收结果作为履约依据，乙方填写验收单，并向甲方提交实施过程中的所有资料，以便甲方日后管理和维护。</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(五)验收依据：</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1、合同文本、合同附件、招标文件、中标人的投标文件。</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2、国内相应的标准、规范。</w:t>
      </w:r>
    </w:p>
    <w:p>
      <w:pPr>
        <w:adjustRightInd w:val="0"/>
        <w:snapToGrid w:val="0"/>
        <w:spacing w:line="360" w:lineRule="auto"/>
        <w:ind w:firstLine="480" w:firstLineChars="200"/>
        <w:rPr>
          <w:rFonts w:hint="eastAsia" w:ascii="仿宋" w:hAnsi="仿宋" w:eastAsia="仿宋" w:cs="仿宋"/>
          <w:sz w:val="24"/>
        </w:rPr>
      </w:pPr>
      <w:bookmarkStart w:id="18" w:name="_Toc19515392"/>
      <w:r>
        <w:rPr>
          <w:rFonts w:hint="eastAsia" w:ascii="仿宋" w:hAnsi="仿宋" w:eastAsia="仿宋" w:cs="仿宋"/>
          <w:sz w:val="24"/>
        </w:rPr>
        <w:t>十二、违约责任</w:t>
      </w:r>
      <w:bookmarkEnd w:id="18"/>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（一）按《中华人民共和国民法典》中的相关条款执行。</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（二）乙方履约延误</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1、如乙方事先未征得甲方同意并得到甲方的谅解而单方面延迟执行合同，将按违约终止合同。</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（三）违约终止合同：未按合同要求提供服务或不能满足技术要求，甲方会同监督机构有权终止合同，对乙方违约行为进行追究，同时按政府采购法的有关规定进行相应的处罚。</w:t>
      </w:r>
    </w:p>
    <w:p>
      <w:pPr>
        <w:adjustRightInd w:val="0"/>
        <w:snapToGrid w:val="0"/>
        <w:spacing w:line="360" w:lineRule="auto"/>
        <w:ind w:firstLine="480" w:firstLineChars="200"/>
        <w:rPr>
          <w:rFonts w:hint="eastAsia" w:ascii="仿宋" w:hAnsi="仿宋" w:eastAsia="仿宋" w:cs="仿宋"/>
          <w:sz w:val="24"/>
        </w:rPr>
      </w:pPr>
      <w:bookmarkStart w:id="19" w:name="_Toc19515393"/>
      <w:r>
        <w:rPr>
          <w:rFonts w:hint="eastAsia" w:ascii="仿宋" w:hAnsi="仿宋" w:eastAsia="仿宋" w:cs="仿宋"/>
          <w:sz w:val="24"/>
        </w:rPr>
        <w:t>十三、合同组成</w:t>
      </w:r>
      <w:bookmarkEnd w:id="19"/>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1、中标通知书</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4、招标文件</w:t>
      </w:r>
    </w:p>
    <w:p>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5、中标人的投标文件</w:t>
      </w:r>
    </w:p>
    <w:p>
      <w:pPr>
        <w:adjustRightInd w:val="0"/>
        <w:snapToGrid w:val="0"/>
        <w:spacing w:line="360" w:lineRule="auto"/>
        <w:ind w:firstLine="480" w:firstLineChars="200"/>
        <w:rPr>
          <w:rFonts w:hint="eastAsia" w:ascii="仿宋" w:hAnsi="仿宋" w:eastAsia="仿宋" w:cs="仿宋"/>
          <w:sz w:val="24"/>
        </w:rPr>
      </w:pPr>
      <w:bookmarkStart w:id="20" w:name="_Toc19515394"/>
      <w:r>
        <w:rPr>
          <w:rFonts w:hint="eastAsia" w:ascii="仿宋" w:hAnsi="仿宋" w:eastAsia="仿宋" w:cs="仿宋"/>
          <w:sz w:val="24"/>
        </w:rPr>
        <w:t>十四、解决争议的方法</w:t>
      </w:r>
      <w:bookmarkEnd w:id="20"/>
    </w:p>
    <w:p>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凡因本合同引起的或与本合同有关的争议，双方应友好协商解决。协商不成时，双方均同意采用以下第（1）种争议解决方式：</w:t>
      </w:r>
    </w:p>
    <w:p>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rPr>
          <w:rFonts w:hint="eastAsia" w:ascii="仿宋" w:hAnsi="仿宋" w:eastAsia="仿宋" w:cs="仿宋"/>
          <w:sz w:val="24"/>
        </w:rPr>
        <w:fldChar w:fldCharType="begin"/>
      </w:r>
      <w:r>
        <w:rPr>
          <w:rFonts w:hint="eastAsia" w:ascii="仿宋" w:hAnsi="仿宋" w:eastAsia="仿宋" w:cs="仿宋"/>
          <w:sz w:val="24"/>
        </w:rPr>
        <w:instrText xml:space="preserve"> HYPERLINK "http://www.baidu.com/s?wd=%E4%BB%B2%E8%A3%81%E5%A7%94%E5%91%98%E4%BC%9A&amp;tn=SE_PcZhidaonwhc_ngpagmjz&amp;rsv_dl=gh_pc_zhidao" \t "_blank" </w:instrText>
      </w:r>
      <w:r>
        <w:rPr>
          <w:rFonts w:hint="eastAsia" w:ascii="仿宋" w:hAnsi="仿宋" w:eastAsia="仿宋" w:cs="仿宋"/>
          <w:sz w:val="24"/>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pPr>
        <w:adjustRightInd w:val="0"/>
        <w:snapToGrid w:val="0"/>
        <w:spacing w:line="360" w:lineRule="auto"/>
        <w:ind w:firstLine="480" w:firstLineChars="200"/>
        <w:rPr>
          <w:rFonts w:hint="eastAsia" w:ascii="仿宋" w:hAnsi="仿宋" w:eastAsia="仿宋" w:cs="仿宋"/>
          <w:sz w:val="24"/>
        </w:rPr>
      </w:pPr>
      <w:bookmarkStart w:id="21" w:name="_Toc19515395"/>
      <w:r>
        <w:rPr>
          <w:rFonts w:hint="eastAsia" w:ascii="仿宋" w:hAnsi="仿宋" w:eastAsia="仿宋" w:cs="仿宋"/>
          <w:sz w:val="24"/>
        </w:rPr>
        <w:t>十五、合同生效及其它</w:t>
      </w:r>
      <w:bookmarkEnd w:id="21"/>
    </w:p>
    <w:p>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（一）合同未尽事宜、由甲、乙双方协商，作为合同补充，与原合同具有同等法律效力。</w:t>
      </w:r>
    </w:p>
    <w:p>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（二）本合同正本一式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（三）合同经甲乙双方盖章、签字后生效，合同签订地点为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（四）生效时间：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5"/>
        <w:tblW w:w="0" w:type="auto"/>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noWrap w:val="0"/>
            <w:vAlign w:val="top"/>
          </w:tcPr>
          <w:p>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账号：</w:t>
            </w:r>
          </w:p>
        </w:tc>
        <w:tc>
          <w:tcPr>
            <w:tcW w:w="4643" w:type="dxa"/>
            <w:noWrap w:val="0"/>
            <w:vAlign w:val="top"/>
          </w:tcPr>
          <w:p>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账号：</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RjMjhhYTBkZWJlNzgzMjM1N2JlMTgxOTE4NTIifQ=="/>
  </w:docVars>
  <w:rsids>
    <w:rsidRoot w:val="00000000"/>
    <w:rsid w:val="2E9E74D1"/>
    <w:rsid w:val="590912F3"/>
    <w:rsid w:val="60C417CA"/>
    <w:rsid w:val="64DC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ind w:firstLine="420"/>
      <w:jc w:val="left"/>
    </w:pPr>
    <w:rPr>
      <w:rFonts w:ascii="宋体"/>
      <w:kern w:val="0"/>
      <w:sz w:val="24"/>
      <w:szCs w:val="20"/>
    </w:rPr>
  </w:style>
  <w:style w:type="paragraph" w:styleId="4">
    <w:name w:val="toc 4"/>
    <w:basedOn w:val="1"/>
    <w:next w:val="1"/>
    <w:qFormat/>
    <w:uiPriority w:val="39"/>
    <w:pPr>
      <w:ind w:left="1260" w:leftChars="600"/>
    </w:pPr>
  </w:style>
  <w:style w:type="character" w:customStyle="1" w:styleId="7">
    <w:name w:val="标题 1 Char"/>
    <w:link w:val="2"/>
    <w:autoRedefine/>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4</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2024-04-18T14:35:17Z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D5CA2551C5D24E35B2691523DC3ACE02_12</vt:lpwstr>
  </property>
</Properties>
</file>