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版本号：240705001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核心业务系统国产密码改造项目（一期）</w:t>
      </w:r>
    </w:p>
    <w:p>
      <w:pPr>
        <w:pStyle w:val="null3"/>
        <w:jc w:val="center"/>
        <w:outlineLvl w:val="2"/>
      </w:pPr>
      <w:r>
        <w:rPr>
          <w:sz w:val="28"/>
          <w:b/>
        </w:rPr>
        <w:t>采购项目编号：</w:t>
      </w:r>
      <w:r>
        <w:rPr>
          <w:sz w:val="28"/>
          <w:b/>
        </w:rPr>
        <w:t>ZCSP-铜川市-2024-00483</w:t>
      </w:r>
      <w:r>
        <w:br/>
      </w:r>
      <w:r>
        <w:br/>
      </w:r>
      <w:r>
        <w:br/>
      </w:r>
    </w:p>
    <w:p>
      <w:pPr>
        <w:pStyle w:val="null3"/>
        <w:jc w:val="center"/>
        <w:outlineLvl w:val="2"/>
      </w:pPr>
      <w:r>
        <w:rPr>
          <w:sz w:val="28"/>
          <w:b/>
        </w:rPr>
        <w:t>铜川市住房公积金管理中心</w:t>
      </w:r>
    </w:p>
    <w:p>
      <w:pPr>
        <w:pStyle w:val="null3"/>
        <w:jc w:val="center"/>
        <w:outlineLvl w:val="2"/>
      </w:pPr>
      <w:r>
        <w:rPr>
          <w:sz w:val="28"/>
          <w:b/>
        </w:rPr>
        <w:t>陕西通安项目管理有限公司</w:t>
      </w:r>
      <w:r>
        <w:rPr>
          <w:sz w:val="28"/>
          <w:b/>
        </w:rPr>
        <w:t>共同编制</w:t>
      </w:r>
    </w:p>
    <w:p>
      <w:pPr>
        <w:pStyle w:val="null3"/>
        <w:jc w:val="center"/>
        <w:outlineLvl w:val="2"/>
      </w:pPr>
      <w:r>
        <w:rPr>
          <w:sz w:val="28"/>
          <w:b/>
        </w:rPr>
        <w:t>2024年07月05日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陕西通安项目管理有限公司</w:t>
      </w:r>
      <w:r>
        <w:rPr/>
        <w:t>（以下简称“代理机构”）受</w:t>
      </w:r>
      <w:r>
        <w:rPr/>
        <w:t>铜川市住房公积金管理中心</w:t>
      </w:r>
      <w:r>
        <w:rPr/>
        <w:t>委托，拟对</w:t>
      </w:r>
      <w:r>
        <w:rPr/>
        <w:t>核心业务系统国产密码改造项目（一期）</w:t>
      </w:r>
      <w:r>
        <w:rPr/>
        <w:t>采用竞争性磋商采购方式进行采购，兹邀请供应商参加本项目的竞争性磋商。</w:t>
      </w:r>
    </w:p>
    <w:p>
      <w:pPr>
        <w:pStyle w:val="null3"/>
        <w:outlineLvl w:val="2"/>
      </w:pPr>
      <w:r>
        <w:rPr>
          <w:sz w:val="28"/>
          <w:b/>
        </w:rPr>
        <w:t>一、项目编号：</w:t>
      </w:r>
      <w:r>
        <w:rPr>
          <w:sz w:val="28"/>
          <w:b/>
        </w:rPr>
        <w:t>ZCSP-铜川市-2024-00483</w:t>
      </w:r>
    </w:p>
    <w:p>
      <w:pPr>
        <w:pStyle w:val="null3"/>
        <w:outlineLvl w:val="2"/>
      </w:pPr>
      <w:r>
        <w:rPr>
          <w:sz w:val="28"/>
          <w:b/>
        </w:rPr>
        <w:t>二、项目名称：</w:t>
      </w:r>
      <w:r>
        <w:rPr>
          <w:sz w:val="28"/>
          <w:b/>
        </w:rPr>
        <w:t>核心业务系统国产密码改造项目（一期）</w:t>
      </w:r>
    </w:p>
    <w:p>
      <w:pPr>
        <w:pStyle w:val="null3"/>
        <w:outlineLvl w:val="2"/>
      </w:pPr>
      <w:r>
        <w:rPr>
          <w:sz w:val="28"/>
          <w:b/>
        </w:rPr>
        <w:t>三、磋商项目简介</w:t>
      </w:r>
    </w:p>
    <w:p>
      <w:pPr>
        <w:pStyle w:val="null3"/>
        <w:ind w:firstLine="480"/>
      </w:pPr>
      <w:r>
        <w:rPr/>
        <w:t>核心业务系统国产密码改造项目（一期）</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1、合格供应商：提供有效的企业营业执照/事业单位法人证书/专业服务机构执业许可证/民办非企业单位登记证书（以上四种形式的资料提供任何一种即可），自然人提供身份证（提供原件扫描件）。</w:t>
      </w:r>
    </w:p>
    <w:p>
      <w:pPr>
        <w:pStyle w:val="null3"/>
      </w:pPr>
      <w:r>
        <w:rPr/>
        <w:t>2、身份证明：法定代表人参加磋商须出具法定代表人身份证明（并附有效证件），被授权代理人参加磋商须出具法定代表人授权书及被授权人有效证件。</w:t>
      </w:r>
    </w:p>
    <w:p>
      <w:pPr>
        <w:pStyle w:val="null3"/>
      </w:pPr>
      <w:r>
        <w:rPr/>
        <w:t>3、财务状况报告：供应商提供2021至2023年任意一年的经审计的财务报告（成立时间至提交投标文件截止时间不足一年的可提供成立后任意时段的资产负债表），或其基本存款账户开户银行出具的资信证明。（复印件加盖供应商公章）</w:t>
      </w:r>
    </w:p>
    <w:p>
      <w:pPr>
        <w:pStyle w:val="null3"/>
      </w:pPr>
      <w:r>
        <w:rPr/>
        <w:t>4、税收缴纳证明：提供响应文件递交截止时间前6个月内任意一个月已缴纳完税凭证（任意税种）或税务机关开具的完税证明（任意税种）。</w:t>
      </w:r>
    </w:p>
    <w:p>
      <w:pPr>
        <w:pStyle w:val="null3"/>
      </w:pPr>
      <w:r>
        <w:rPr/>
        <w:t>5、社会保障资金缴纳证明：提供响应文件递交截止时间前6个月内任意1个月已缴存的任意时段的社会保障资金缴存单据或社保机构开具的社会保险参保缴费情况证明。</w:t>
      </w:r>
    </w:p>
    <w:p>
      <w:pPr>
        <w:pStyle w:val="null3"/>
      </w:pPr>
      <w:r>
        <w:rPr/>
        <w:t>6、无重大违法记录声明：参加政府采购活动近三年内，在经营活动中没有重大违法记录，提供书面声明。</w:t>
      </w:r>
    </w:p>
    <w:p>
      <w:pPr>
        <w:pStyle w:val="null3"/>
      </w:pPr>
      <w:r>
        <w:rPr/>
        <w:t>7、供应商信誉：供应商不得为“信用中国(www.creditchina.gov.cn)”中列入重大税收违法失信主体、严重失信主体名单及政府采购严重违法失信行为记录名单查询的供应商；不得在“中国执行信息公开网(http://zxgk.court.gov.cn)”被列为失信被执行人；不得被列入“国家企业信用信息公示系统(http://www.gsxt.gov.cn/index.html)”行政处罚信息、经营异常名录信息及严重违法失信名单；不得为“中国政府采购网(www.ccgp.gov.cn)”政府采购严重违法失信行为记录名单中被财政部门禁止参加政府采购活动的供应商；（“信用中国”及“中国执行信息公开网”应同时提供法定代表人或负责人查询截图且不得被列入以上名单，以上提供网页查询打印预览截图，查询时间为各供应商领取响应文件之日至递交响应文件截止之日期间有效，打印背景体现查询日期。）</w:t>
      </w:r>
    </w:p>
    <w:p>
      <w:pPr>
        <w:pStyle w:val="null3"/>
      </w:pPr>
      <w:r>
        <w:rPr/>
        <w:t>8、设备和专业技术能力承诺：具有履行合同所必需的设备和专业技术能力，提供证明材料或书面承诺并加盖公章。</w:t>
      </w:r>
    </w:p>
    <w:p>
      <w:pPr>
        <w:pStyle w:val="null3"/>
      </w:pPr>
      <w:r>
        <w:rPr/>
        <w:t>9、本项目非联合体磋商：提供非联合体磋商声明。</w:t>
      </w:r>
    </w:p>
    <w:p>
      <w:pPr>
        <w:pStyle w:val="null3"/>
      </w:pPr>
      <w:r>
        <w:rPr/>
        <w:t>10、备注：1、以上资格要求均为必备资格，缺少其中任何一项，其响应文件视为无效文件。法定代表人身份证明书、法定代表人授权委托书应按采购文件给定的格式填写。 2、分支机构参与投标时，投标文件中应附法人企业出具的授权书，总公司及授权分公司可就本项目或此类项目在一定范围或时间内出具法人企业授权书进行转授权（授权仅限分公司范围内）。法人企业不能与分支机构同时参与投标。已由法人企业授权的，法人企业取得的相关资质证书对分支机构有效。</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铜川市住房公积金管理中心</w:t>
      </w:r>
    </w:p>
    <w:p>
      <w:pPr>
        <w:pStyle w:val="null3"/>
      </w:pPr>
      <w:r>
        <w:rPr/>
        <w:t xml:space="preserve"> 地址： </w:t>
      </w:r>
      <w:r>
        <w:rPr/>
        <w:t>新区华原东道</w:t>
      </w:r>
    </w:p>
    <w:p>
      <w:pPr>
        <w:pStyle w:val="null3"/>
      </w:pPr>
      <w:r>
        <w:rPr/>
        <w:t xml:space="preserve"> 邮编： </w:t>
      </w:r>
      <w:r>
        <w:rPr/>
        <w:t>727031</w:t>
      </w:r>
    </w:p>
    <w:p>
      <w:pPr>
        <w:pStyle w:val="null3"/>
      </w:pPr>
      <w:r>
        <w:rPr/>
        <w:t xml:space="preserve"> 联系人： </w:t>
      </w:r>
      <w:r>
        <w:rPr/>
        <w:t>铜川市住房公积金管理中心经办</w:t>
      </w:r>
    </w:p>
    <w:p>
      <w:pPr>
        <w:pStyle w:val="null3"/>
      </w:pPr>
      <w:r>
        <w:rPr/>
        <w:t xml:space="preserve"> 联系电话： </w:t>
      </w:r>
      <w:r>
        <w:rPr/>
        <w:t>3286298</w:t>
      </w:r>
    </w:p>
    <w:p>
      <w:pPr>
        <w:pStyle w:val="null3"/>
        <w:outlineLvl w:val="3"/>
      </w:pPr>
      <w:r>
        <w:rPr>
          <w:sz w:val="24"/>
          <w:b/>
        </w:rPr>
        <w:t>代理机构：</w:t>
      </w:r>
      <w:r>
        <w:rPr>
          <w:sz w:val="24"/>
          <w:b/>
        </w:rPr>
        <w:t>陕西通安项目管理有限公司</w:t>
      </w:r>
    </w:p>
    <w:p>
      <w:pPr>
        <w:pStyle w:val="null3"/>
      </w:pPr>
      <w:r>
        <w:rPr/>
        <w:t xml:space="preserve"> 地址： </w:t>
      </w:r>
      <w:r>
        <w:rPr/>
        <w:t>陕西省铜川市新区铁诺北路天使小区5号楼4楼</w:t>
      </w:r>
    </w:p>
    <w:p>
      <w:pPr>
        <w:pStyle w:val="null3"/>
      </w:pPr>
      <w:r>
        <w:rPr/>
        <w:t xml:space="preserve"> 邮编： </w:t>
      </w:r>
      <w:r>
        <w:rPr/>
        <w:t>727031</w:t>
      </w:r>
    </w:p>
    <w:p>
      <w:pPr>
        <w:pStyle w:val="null3"/>
      </w:pPr>
      <w:r>
        <w:rPr/>
        <w:t xml:space="preserve"> 联系人： </w:t>
      </w:r>
      <w:r>
        <w:rPr/>
        <w:t>张萍</w:t>
      </w:r>
    </w:p>
    <w:p>
      <w:pPr>
        <w:pStyle w:val="null3"/>
      </w:pPr>
      <w:r>
        <w:rPr/>
        <w:t xml:space="preserve"> 联系电话： </w:t>
      </w:r>
      <w:r>
        <w:rPr/>
        <w:t>13991589128</w:t>
      </w:r>
    </w:p>
    <w:p>
      <w:pPr>
        <w:pStyle w:val="null3"/>
        <w:outlineLvl w:val="3"/>
      </w:pPr>
      <w:r>
        <w:rPr>
          <w:sz w:val="24"/>
          <w:b/>
        </w:rPr>
        <w:t>采购监督机构：</w:t>
      </w:r>
      <w:r>
        <w:rPr>
          <w:sz w:val="24"/>
          <w:b/>
        </w:rPr>
        <w:t>铜川市财政局政府采购管理科</w:t>
      </w:r>
    </w:p>
    <w:p>
      <w:pPr>
        <w:pStyle w:val="null3"/>
        <w:ind w:firstLine="480"/>
      </w:pPr>
      <w:r>
        <w:rPr/>
        <w:t>联系人：</w:t>
      </w:r>
      <w:r>
        <w:rPr/>
        <w:t>郭老师</w:t>
      </w:r>
    </w:p>
    <w:p>
      <w:pPr>
        <w:pStyle w:val="null3"/>
        <w:ind w:firstLine="480"/>
      </w:pPr>
      <w:r>
        <w:rPr/>
        <w:t>联系电话：</w:t>
      </w:r>
      <w:r>
        <w:rPr/>
        <w:t>0919-3281620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采购包1：498,000.00元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关于印发《招标代理服务收费管理暂行办法》的通知（计价格〔2002〕1980号）、《国家发展和改革委员会办公厅关于招标代理服务收费有关问题的通知》（发改办价格〔2003〕857号）规定收取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铜川市住房公积金管理中心</w:t>
      </w:r>
      <w:r>
        <w:rPr/>
        <w:t>和</w:t>
      </w:r>
      <w:r>
        <w:rPr/>
        <w:t>陕西通安项目管理有限公司</w:t>
      </w:r>
      <w:r>
        <w:rPr/>
        <w:t>享有。对磋商文件中供应商参加本次政府采购活动应当具备的条件，磋商项目技术、服务、商务及其他要求，评审细则及标准由</w:t>
      </w:r>
      <w:r>
        <w:rPr/>
        <w:t>铜川市住房公积金管理中心</w:t>
      </w:r>
      <w:r>
        <w:rPr/>
        <w:t>负责解释。除上述磋商文件内容，其他内容由</w:t>
      </w:r>
      <w:r>
        <w:rPr/>
        <w:t>陕西通安项目管理有限公司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铜川市住房公积金管理中心</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陕西通安项目管理有限公司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以双方最终签订和合同内具体条款约定为准。</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陕西通安项目管理有限公司</w:t>
      </w:r>
      <w:r>
        <w:rPr/>
        <w:t xml:space="preserve"> 负责答复；供应商对除采购需求外的采购文件的询问、质疑由</w:t>
      </w:r>
      <w:r>
        <w:rPr/>
        <w:t>陕西通安项目管理有限公司</w:t>
      </w:r>
      <w:r>
        <w:rPr/>
        <w:t xml:space="preserve"> 负责答复；供应商对采购过程、采购结果的询问、质疑由 </w:t>
      </w:r>
      <w:r>
        <w:rPr/>
        <w:t>陕西通安项目管理有限公司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联系人：张萍</w:t>
      </w:r>
    </w:p>
    <w:p>
      <w:pPr>
        <w:pStyle w:val="null3"/>
      </w:pPr>
      <w:r>
        <w:rPr/>
        <w:t>联系电话：13991589128</w:t>
      </w:r>
    </w:p>
    <w:p>
      <w:pPr>
        <w:pStyle w:val="null3"/>
      </w:pPr>
      <w:r>
        <w:rPr/>
        <w:t>地址：陕西省铜川市新区铁诺北路天使小区5号楼4楼</w:t>
      </w:r>
    </w:p>
    <w:p>
      <w:pPr>
        <w:pStyle w:val="null3"/>
      </w:pPr>
      <w:r>
        <w:rPr/>
        <w:t>邮编：727031</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核心业务系统国产密码改造项目（一期）</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498,000.00</w:t>
      </w:r>
    </w:p>
    <w:p>
      <w:pPr>
        <w:pStyle w:val="null3"/>
      </w:pPr>
      <w:r>
        <w:rPr/>
        <w:t>采购包最高限价（元）: 498,000.00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498000</w:t>
            </w:r>
          </w:p>
        </w:tc>
        <w:tc>
          <w:tcPr>
            <w:tcW w:type="dxa" w:w="831"/>
          </w:tcPr>
          <w:p>
            <w:pPr>
              <w:pStyle w:val="null3"/>
              <w:jc w:val="right"/>
            </w:pPr>
            <w:r>
              <w:rPr/>
              <w:t>1.00</w:t>
            </w:r>
          </w:p>
        </w:tc>
        <w:tc>
          <w:tcPr>
            <w:tcW w:type="dxa" w:w="831"/>
          </w:tcPr>
          <w:p>
            <w:pPr>
              <w:pStyle w:val="null3"/>
              <w:jc w:val="right"/>
            </w:pPr>
            <w:r>
              <w:rPr/>
              <w:t>498,000.00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标的名称：498000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51"/>
              <w:gridCol w:w="176"/>
              <w:gridCol w:w="1576"/>
              <w:gridCol w:w="195"/>
              <w:gridCol w:w="157"/>
              <w:gridCol w:w="198"/>
            </w:tblGrid>
            <w:tr>
              <w:tc>
                <w:tcPr>
                  <w:tcW w:type="dxa" w:w="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设备</w:t>
                  </w:r>
                </w:p>
                <w:p>
                  <w:pPr>
                    <w:pStyle w:val="null3"/>
                    <w:jc w:val="center"/>
                  </w:pPr>
                  <w:r>
                    <w:rPr>
                      <w:rFonts w:ascii="宋体" w:hAnsi="宋体" w:cs="宋体" w:eastAsia="宋体"/>
                      <w:sz w:val="24"/>
                      <w:b/>
                    </w:rPr>
                    <w:t>名称</w:t>
                  </w:r>
                </w:p>
              </w:tc>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规格</w:t>
                  </w:r>
                </w:p>
                <w:p>
                  <w:pPr>
                    <w:pStyle w:val="null3"/>
                    <w:jc w:val="center"/>
                  </w:pPr>
                  <w:r>
                    <w:rPr>
                      <w:rFonts w:ascii="宋体" w:hAnsi="宋体" w:cs="宋体" w:eastAsia="宋体"/>
                      <w:sz w:val="24"/>
                      <w:b/>
                    </w:rPr>
                    <w:t>型号</w:t>
                  </w:r>
                </w:p>
              </w:tc>
              <w:tc>
                <w:tcPr>
                  <w:tcW w:type="dxa" w:w="15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技术指标参数要求</w:t>
                  </w:r>
                </w:p>
              </w:tc>
              <w:tc>
                <w:tcPr>
                  <w:tcW w:type="dxa" w:w="1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计量</w:t>
                  </w:r>
                </w:p>
                <w:p>
                  <w:pPr>
                    <w:pStyle w:val="null3"/>
                    <w:jc w:val="center"/>
                  </w:pPr>
                  <w:r>
                    <w:rPr>
                      <w:rFonts w:ascii="宋体" w:hAnsi="宋体" w:cs="宋体" w:eastAsia="宋体"/>
                      <w:sz w:val="24"/>
                      <w:b/>
                    </w:rPr>
                    <w:t>单位</w:t>
                  </w:r>
                </w:p>
              </w:tc>
              <w:tc>
                <w:tcPr>
                  <w:tcW w:type="dxa" w:w="1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数量</w:t>
                  </w:r>
                </w:p>
              </w:tc>
              <w:tc>
                <w:tcPr>
                  <w:tcW w:type="dxa" w:w="1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备注</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国密门禁系统</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宋体" w:hAnsi="宋体" w:cs="宋体" w:eastAsia="宋体"/>
                      <w:sz w:val="24"/>
                      <w:color w:val="000000"/>
                    </w:rPr>
                    <w:t>门禁监控设备</w:t>
                  </w:r>
                </w:p>
              </w:tc>
              <w:tc>
                <w:tcPr>
                  <w:tcW w:type="dxa" w:w="1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1、门禁控制器1个:内置国家密码局认证的安全芯片，采用国密算法与门禁机前端进行加密通讯;1路门状态反馈，1路报警输入，RS485通讯方式。开门按钮1个，双门磁力锁1个，双门LZ支架1个。安全智能视频门禁1个:采用国产芯片，国产算法，具有抓拍功能，除了抓拍正常刷脸或者刷卡开门照片上传到后台以以外，还具有陌生人抓拍预警功能。支持人脸识别加刷卡双认证开门方式，人脸比对速度&lt;1s;刷卡响应时间≤300ms。门禁卡20个:1、发卡时间&lt;1s，运算速度&gt;1.73Mbps;门禁卡卡内存放发行信息和卡片密钥。</w:t>
                  </w:r>
                </w:p>
                <w:p>
                  <w:pPr>
                    <w:pStyle w:val="null3"/>
                    <w:jc w:val="both"/>
                  </w:pPr>
                  <w:r>
                    <w:rPr>
                      <w:rFonts w:ascii="宋体" w:hAnsi="宋体" w:cs="宋体" w:eastAsia="宋体"/>
                      <w:sz w:val="24"/>
                      <w:color w:val="000000"/>
                    </w:rPr>
                    <w:t>2、安全智能视频门禁系统采用国产芯片需符合安全芯片密码检测GM/T0008第二级标准要求，芯片模块具备国家密码管理局商用密码检测中心颁发的商用密码产品认证证书(需提供证书复印件)</w:t>
                  </w:r>
                  <w:r>
                    <w:rPr>
                      <w:rFonts w:ascii="宋体" w:hAnsi="宋体" w:cs="宋体" w:eastAsia="宋体"/>
                      <w:sz w:val="24"/>
                      <w:color w:val="000000"/>
                    </w:rPr>
                    <w:t>。</w:t>
                  </w:r>
                </w:p>
                <w:p>
                  <w:pPr>
                    <w:pStyle w:val="null3"/>
                    <w:jc w:val="both"/>
                  </w:pPr>
                  <w:r>
                    <w:rPr>
                      <w:rFonts w:ascii="宋体" w:hAnsi="宋体" w:cs="宋体" w:eastAsia="宋体"/>
                      <w:sz w:val="24"/>
                      <w:color w:val="000000"/>
                    </w:rPr>
                    <w:t>3、门禁卡(智能IC卡)具备国家密码管理局商用密码检测中心颁发的商用密码产品认证证书(需提供证书复印件）</w:t>
                  </w:r>
                  <w:r>
                    <w:rPr>
                      <w:rFonts w:ascii="宋体" w:hAnsi="宋体" w:cs="宋体" w:eastAsia="宋体"/>
                      <w:sz w:val="24"/>
                      <w:color w:val="000000"/>
                    </w:rPr>
                    <w:t>。</w:t>
                  </w:r>
                </w:p>
                <w:p>
                  <w:pPr>
                    <w:pStyle w:val="null3"/>
                    <w:jc w:val="both"/>
                  </w:pPr>
                  <w:r>
                    <w:rPr>
                      <w:rFonts w:ascii="宋体" w:hAnsi="宋体" w:cs="宋体" w:eastAsia="宋体"/>
                      <w:sz w:val="24"/>
                      <w:color w:val="000000"/>
                    </w:rPr>
                    <w:t>4、后台登录读卡器:支持用于登录门禁管理后台，通过管理员密码及国密卡硬件介质双重认证对后台登录人员进行身份认证;含5张用户登录国密卡。</w:t>
                  </w:r>
                </w:p>
                <w:p>
                  <w:pPr>
                    <w:pStyle w:val="null3"/>
                    <w:jc w:val="both"/>
                  </w:pPr>
                  <w:r>
                    <w:rPr>
                      <w:rFonts w:ascii="宋体" w:hAnsi="宋体" w:cs="宋体" w:eastAsia="宋体"/>
                      <w:sz w:val="24"/>
                      <w:color w:val="000000"/>
                    </w:rPr>
                    <w:t>5、读卡器中的安全模块采用32位多用途高性能安全芯片，符合GM/T0008-2012《安全芯片密码检测准则》安全等级第二级相关要求(需提供证明材料）</w:t>
                  </w:r>
                  <w:r>
                    <w:rPr>
                      <w:rFonts w:ascii="宋体" w:hAnsi="宋体" w:cs="宋体" w:eastAsia="宋体"/>
                      <w:sz w:val="24"/>
                      <w:color w:val="000000"/>
                    </w:rPr>
                    <w:t>。</w:t>
                  </w:r>
                </w:p>
                <w:p>
                  <w:pPr>
                    <w:pStyle w:val="null3"/>
                    <w:jc w:val="both"/>
                  </w:pPr>
                  <w:r>
                    <w:rPr>
                      <w:rFonts w:ascii="宋体" w:hAnsi="宋体" w:cs="宋体" w:eastAsia="宋体"/>
                      <w:sz w:val="24"/>
                      <w:color w:val="000000"/>
                    </w:rPr>
                    <w:t>6、门禁管理后台一体机:CPU:≥4核;硬盘:≥256GSSD+1T机械硬盘;内存:≥8G;系统:Linux系统;每台服务器可支持≥256路门禁前端;包含门禁管理后台软件:安装门禁管理后台软件，实现门禁设备管理、人员管理、门禁记录存储，日志管理、角色管理等功能;后台系统与门禁前端通讯采用加密技术</w:t>
                  </w:r>
                  <w:r>
                    <w:rPr>
                      <w:rFonts w:ascii="宋体" w:hAnsi="宋体" w:cs="宋体" w:eastAsia="宋体"/>
                      <w:sz w:val="24"/>
                      <w:color w:val="000000"/>
                    </w:rPr>
                    <w:t>；</w:t>
                  </w:r>
                  <w:r>
                    <w:rPr>
                      <w:rFonts w:ascii="宋体" w:hAnsi="宋体" w:cs="宋体" w:eastAsia="宋体"/>
                      <w:sz w:val="24"/>
                      <w:color w:val="000000"/>
                    </w:rPr>
                    <w:t>服务器内置具有防拆功能的安全模块，安全模块符合</w:t>
                  </w:r>
                  <w:r>
                    <w:rPr>
                      <w:rFonts w:ascii="宋体" w:hAnsi="宋体" w:cs="宋体" w:eastAsia="宋体"/>
                      <w:sz w:val="24"/>
                      <w:color w:val="000000"/>
                    </w:rPr>
                    <w:t>GM/T0008-2012《安全芯片密码检测准则》安全等级第二级相关要求。</w:t>
                  </w:r>
                </w:p>
                <w:p>
                  <w:pPr>
                    <w:pStyle w:val="null3"/>
                    <w:jc w:val="both"/>
                  </w:pPr>
                  <w:r>
                    <w:rPr>
                      <w:rFonts w:ascii="宋体" w:hAnsi="宋体" w:cs="宋体" w:eastAsia="宋体"/>
                      <w:sz w:val="24"/>
                      <w:color w:val="000000"/>
                    </w:rPr>
                    <w:t>7、安全智能门禁系统具备国家密码管理局商用密码检测中心颁发的商用密码产品认证证书(需提供证书复印件)</w:t>
                  </w:r>
                  <w:r>
                    <w:rPr>
                      <w:rFonts w:ascii="宋体" w:hAnsi="宋体" w:cs="宋体" w:eastAsia="宋体"/>
                      <w:sz w:val="24"/>
                      <w:color w:val="000000"/>
                    </w:rPr>
                    <w:t>。</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签名验签服务器</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机架设备</w:t>
                  </w:r>
                </w:p>
              </w:tc>
              <w:tc>
                <w:tcPr>
                  <w:tcW w:type="dxa" w:w="1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r>
                    <w:rPr>
                      <w:rFonts w:ascii="宋体" w:hAnsi="宋体" w:cs="宋体" w:eastAsia="宋体"/>
                      <w:sz w:val="24"/>
                    </w:rPr>
                    <w:t>2U定制机箱、机架式导轨（托架）、3A4000（龙芯）CPU、工控主板、8G内存、2T企业级硬盘、长城550W冗余电源、2个RJ-45 10/100/1000M电口、可按需扩展接口、SSJK1913-G PCI-E密码卡*1、智能密码钥匙*10；</w:t>
                  </w:r>
                </w:p>
                <w:p>
                  <w:pPr>
                    <w:pStyle w:val="null3"/>
                    <w:jc w:val="both"/>
                  </w:pPr>
                  <w:r>
                    <w:rPr>
                      <w:rFonts w:ascii="宋体" w:hAnsi="宋体" w:cs="宋体" w:eastAsia="宋体"/>
                      <w:sz w:val="24"/>
                    </w:rPr>
                    <w:t>2、性能指标：SM2生密钥（对/秒）≥3500，SM2签名（次/秒）≥6000，SM2验签（次/秒）≥4000，SM3（Mbps）≥140。</w:t>
                  </w:r>
                </w:p>
                <w:p>
                  <w:pPr>
                    <w:pStyle w:val="null3"/>
                    <w:jc w:val="both"/>
                  </w:pPr>
                  <w:r>
                    <w:rPr>
                      <w:rFonts w:ascii="宋体" w:hAnsi="宋体" w:cs="宋体" w:eastAsia="宋体"/>
                      <w:sz w:val="24"/>
                    </w:rPr>
                    <w:t>3、主要功能要求：支持国密SM2、SM3、SM4等算法，提供基于数字证书的身份认证服务、数据签名与签名验证服务、加解密服务和数字信封服务、密钥管理等功能。</w:t>
                  </w:r>
                </w:p>
                <w:p>
                  <w:pPr>
                    <w:pStyle w:val="null3"/>
                    <w:jc w:val="both"/>
                  </w:pPr>
                  <w:r>
                    <w:rPr>
                      <w:rFonts w:ascii="宋体" w:hAnsi="宋体" w:cs="宋体" w:eastAsia="宋体"/>
                      <w:sz w:val="24"/>
                    </w:rPr>
                    <w:t>4、采用分级权限管理，支持管理员、操作员和审计员，负责管理理员、操作员和审计员权限的判断。管理员权限采用分割管理机制，管理员采用具有密码产品认证证书的智能密码钥匙作为权限管理的物理介质，并设置口令保护。</w:t>
                  </w:r>
                </w:p>
                <w:p>
                  <w:pPr>
                    <w:pStyle w:val="null3"/>
                    <w:jc w:val="both"/>
                  </w:pPr>
                  <w:r>
                    <w:rPr>
                      <w:rFonts w:ascii="宋体" w:hAnsi="宋体" w:cs="宋体" w:eastAsia="宋体"/>
                      <w:sz w:val="24"/>
                    </w:rPr>
                    <w:t>5、在满足权限的情况下能够将签名验签服务器内的密钥等重要信息加密后进行备份，并且可以恢复到相同型号的签名验签服务器中，备份采用（3，5）门限方式，产生备份密钥并分割导出到5个智能密码钥匙中。</w:t>
                  </w:r>
                </w:p>
                <w:p>
                  <w:pPr>
                    <w:pStyle w:val="null3"/>
                    <w:jc w:val="both"/>
                  </w:pPr>
                  <w:r>
                    <w:rPr>
                      <w:rFonts w:ascii="宋体" w:hAnsi="宋体" w:cs="宋体" w:eastAsia="宋体"/>
                      <w:sz w:val="24"/>
                    </w:rPr>
                    <w:t>6、产品具备《商用密码产品认证证书》、《中国国家强制性产品认证证书》、《中国节能产品认证证书》</w:t>
                  </w:r>
                  <w:r>
                    <w:rPr>
                      <w:rFonts w:ascii="宋体" w:hAnsi="宋体" w:cs="宋体" w:eastAsia="宋体"/>
                      <w:sz w:val="24"/>
                    </w:rPr>
                    <w:t>。</w:t>
                  </w:r>
                </w:p>
                <w:p>
                  <w:pPr>
                    <w:pStyle w:val="null3"/>
                    <w:jc w:val="both"/>
                  </w:pPr>
                  <w:r>
                    <w:rPr>
                      <w:rFonts w:ascii="宋体" w:hAnsi="宋体" w:cs="宋体" w:eastAsia="宋体"/>
                      <w:sz w:val="24"/>
                    </w:rPr>
                    <w:t>7、产品具有相关计算机软件著作权登记证书</w:t>
                  </w:r>
                  <w:r>
                    <w:rPr>
                      <w:rFonts w:ascii="宋体" w:hAnsi="宋体" w:cs="宋体" w:eastAsia="宋体"/>
                      <w:sz w:val="24"/>
                    </w:rPr>
                    <w:t>。</w:t>
                  </w:r>
                </w:p>
                <w:p>
                  <w:pPr>
                    <w:pStyle w:val="null3"/>
                    <w:jc w:val="both"/>
                  </w:pPr>
                  <w:r>
                    <w:rPr>
                      <w:rFonts w:ascii="宋体" w:hAnsi="宋体" w:cs="宋体" w:eastAsia="宋体"/>
                      <w:sz w:val="24"/>
                    </w:rPr>
                    <w:t>8、要求投标产品厂商具ISO20000信息技术服务管理体系认证证书</w:t>
                  </w:r>
                  <w:r>
                    <w:rPr>
                      <w:rFonts w:ascii="宋体" w:hAnsi="宋体" w:cs="宋体" w:eastAsia="宋体"/>
                      <w:sz w:val="24"/>
                    </w:rPr>
                    <w:t>。</w:t>
                  </w:r>
                </w:p>
                <w:p>
                  <w:pPr>
                    <w:pStyle w:val="null3"/>
                    <w:jc w:val="both"/>
                  </w:pPr>
                  <w:r>
                    <w:rPr>
                      <w:rFonts w:ascii="宋体" w:hAnsi="宋体" w:cs="宋体" w:eastAsia="宋体"/>
                      <w:sz w:val="24"/>
                    </w:rPr>
                    <w:t>9、要求投标产品厂商具ISO27001信息安全管理体系认证证书</w:t>
                  </w:r>
                  <w:r>
                    <w:rPr>
                      <w:rFonts w:ascii="宋体" w:hAnsi="宋体" w:cs="宋体" w:eastAsia="宋体"/>
                      <w:sz w:val="24"/>
                    </w:rPr>
                    <w:t>。</w:t>
                  </w:r>
                </w:p>
                <w:p>
                  <w:pPr>
                    <w:pStyle w:val="null3"/>
                    <w:jc w:val="both"/>
                  </w:pPr>
                  <w:r>
                    <w:rPr>
                      <w:rFonts w:ascii="宋体" w:hAnsi="宋体" w:cs="宋体" w:eastAsia="宋体"/>
                      <w:sz w:val="24"/>
                    </w:rPr>
                    <w:t>10、要求投标产品厂商具备高度的系统成熟度需提供CMMI3证书</w:t>
                  </w:r>
                  <w:r>
                    <w:rPr>
                      <w:rFonts w:ascii="宋体" w:hAnsi="宋体" w:cs="宋体" w:eastAsia="宋体"/>
                      <w:sz w:val="24"/>
                    </w:rPr>
                    <w:t>。</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SSL VPN安全网关</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机架设备</w:t>
                  </w:r>
                </w:p>
              </w:tc>
              <w:tc>
                <w:tcPr>
                  <w:tcW w:type="dxa" w:w="1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1、2U标准机架式机箱，支持液晶屏，海光3250CPU，支持不低于6个电口+2个光口千兆以太网接口，密码卡*1</w:t>
                  </w:r>
                  <w:r>
                    <w:rPr>
                      <w:rFonts w:ascii="宋体" w:hAnsi="宋体" w:cs="宋体" w:eastAsia="宋体"/>
                      <w:sz w:val="24"/>
                    </w:rPr>
                    <w:t>。</w:t>
                  </w:r>
                </w:p>
                <w:p>
                  <w:pPr>
                    <w:pStyle w:val="null3"/>
                    <w:jc w:val="both"/>
                  </w:pPr>
                  <w:r>
                    <w:rPr>
                      <w:rFonts w:ascii="宋体" w:hAnsi="宋体" w:cs="宋体" w:eastAsia="宋体"/>
                      <w:sz w:val="24"/>
                    </w:rPr>
                    <w:t>2支持SM1、SM2、SM3、SM4密码算法，满足IPSec/SSL双规范设计标准，加密吞吐率：SM4≥880Mbps</w:t>
                  </w:r>
                  <w:r>
                    <w:rPr>
                      <w:rFonts w:ascii="宋体" w:hAnsi="宋体" w:cs="宋体" w:eastAsia="宋体"/>
                      <w:sz w:val="24"/>
                    </w:rPr>
                    <w:t>。</w:t>
                  </w:r>
                </w:p>
                <w:p>
                  <w:pPr>
                    <w:pStyle w:val="null3"/>
                    <w:jc w:val="both"/>
                  </w:pPr>
                  <w:r>
                    <w:rPr>
                      <w:rFonts w:ascii="宋体" w:hAnsi="宋体" w:cs="宋体" w:eastAsia="宋体"/>
                      <w:sz w:val="24"/>
                    </w:rPr>
                    <w:t>3、具备sslvpn与ipsecvpn功能</w:t>
                  </w:r>
                  <w:r>
                    <w:rPr>
                      <w:rFonts w:ascii="宋体" w:hAnsi="宋体" w:cs="宋体" w:eastAsia="宋体"/>
                      <w:sz w:val="24"/>
                    </w:rPr>
                    <w:t>。</w:t>
                  </w:r>
                </w:p>
                <w:p>
                  <w:pPr>
                    <w:pStyle w:val="null3"/>
                    <w:jc w:val="both"/>
                  </w:pPr>
                  <w:r>
                    <w:rPr>
                      <w:rFonts w:ascii="宋体" w:hAnsi="宋体" w:cs="宋体" w:eastAsia="宋体"/>
                      <w:sz w:val="24"/>
                    </w:rPr>
                    <w:t>4、要求产品具备有效的安全防护能力，可以实现多重安全防护</w:t>
                  </w:r>
                  <w:r>
                    <w:rPr>
                      <w:rFonts w:ascii="宋体" w:hAnsi="宋体" w:cs="宋体" w:eastAsia="宋体"/>
                      <w:sz w:val="24"/>
                    </w:rPr>
                    <w:t>。</w:t>
                  </w:r>
                </w:p>
                <w:p>
                  <w:pPr>
                    <w:pStyle w:val="null3"/>
                    <w:jc w:val="both"/>
                  </w:pPr>
                  <w:r>
                    <w:rPr>
                      <w:rFonts w:ascii="宋体" w:hAnsi="宋体" w:cs="宋体" w:eastAsia="宋体"/>
                      <w:sz w:val="24"/>
                    </w:rPr>
                    <w:t>5、提供IPSec和SSL加密链路数据的加密实时状态，包括密钥类型、连接时长、加解密报文数等信息</w:t>
                  </w:r>
                  <w:r>
                    <w:rPr>
                      <w:rFonts w:ascii="宋体" w:hAnsi="宋体" w:cs="宋体" w:eastAsia="宋体"/>
                      <w:sz w:val="24"/>
                    </w:rPr>
                    <w:t>。</w:t>
                  </w:r>
                </w:p>
                <w:p>
                  <w:pPr>
                    <w:pStyle w:val="null3"/>
                    <w:jc w:val="both"/>
                  </w:pPr>
                  <w:r>
                    <w:rPr>
                      <w:rFonts w:ascii="宋体" w:hAnsi="宋体" w:cs="宋体" w:eastAsia="宋体"/>
                      <w:sz w:val="24"/>
                    </w:rPr>
                    <w:t>6、支持支持单向及双向SSL卸载功能，支持同站点双证书，设置同一站点同时使用RSA与国密证书，并根据客户端请求进行自适应协商</w:t>
                  </w:r>
                  <w:r>
                    <w:rPr>
                      <w:rFonts w:ascii="宋体" w:hAnsi="宋体" w:cs="宋体" w:eastAsia="宋体"/>
                      <w:sz w:val="24"/>
                    </w:rPr>
                    <w:t>。</w:t>
                  </w:r>
                </w:p>
                <w:p>
                  <w:pPr>
                    <w:pStyle w:val="null3"/>
                    <w:jc w:val="both"/>
                  </w:pPr>
                  <w:r>
                    <w:rPr>
                      <w:rFonts w:ascii="宋体" w:hAnsi="宋体" w:cs="宋体" w:eastAsia="宋体"/>
                      <w:sz w:val="24"/>
                    </w:rPr>
                    <w:t>7、具备专有SSL VPN客户端，客户端支持Windows32位/64位系统，安卓系统和国产化操作系统</w:t>
                  </w:r>
                  <w:r>
                    <w:rPr>
                      <w:rFonts w:ascii="宋体" w:hAnsi="宋体" w:cs="宋体" w:eastAsia="宋体"/>
                      <w:sz w:val="24"/>
                    </w:rPr>
                    <w:t>。</w:t>
                  </w:r>
                </w:p>
                <w:p>
                  <w:pPr>
                    <w:pStyle w:val="null3"/>
                    <w:jc w:val="both"/>
                  </w:pPr>
                  <w:r>
                    <w:rPr>
                      <w:rFonts w:ascii="宋体" w:hAnsi="宋体" w:cs="宋体" w:eastAsia="宋体"/>
                      <w:sz w:val="24"/>
                    </w:rPr>
                    <w:t>8、产品具备《商用密码产品认证证书》、《中国国家强制性产品认证证书》、《中国节能产品认证证书》</w:t>
                  </w:r>
                  <w:r>
                    <w:rPr>
                      <w:rFonts w:ascii="宋体" w:hAnsi="宋体" w:cs="宋体" w:eastAsia="宋体"/>
                      <w:sz w:val="24"/>
                    </w:rPr>
                    <w:t>。</w:t>
                  </w:r>
                </w:p>
                <w:p>
                  <w:pPr>
                    <w:pStyle w:val="null3"/>
                    <w:jc w:val="both"/>
                  </w:pPr>
                  <w:r>
                    <w:rPr>
                      <w:rFonts w:ascii="宋体" w:hAnsi="宋体" w:cs="宋体" w:eastAsia="宋体"/>
                      <w:sz w:val="24"/>
                    </w:rPr>
                    <w:t>9、要求投标产品厂商具ISO20000信息技术服务管理体系认证证书</w:t>
                  </w:r>
                  <w:r>
                    <w:rPr>
                      <w:rFonts w:ascii="宋体" w:hAnsi="宋体" w:cs="宋体" w:eastAsia="宋体"/>
                      <w:sz w:val="24"/>
                    </w:rPr>
                    <w:t>。</w:t>
                  </w:r>
                </w:p>
                <w:p>
                  <w:pPr>
                    <w:pStyle w:val="null3"/>
                    <w:jc w:val="both"/>
                  </w:pPr>
                  <w:r>
                    <w:rPr>
                      <w:rFonts w:ascii="宋体" w:hAnsi="宋体" w:cs="宋体" w:eastAsia="宋体"/>
                      <w:sz w:val="24"/>
                    </w:rPr>
                    <w:t>10、要求投标产品厂商具ISO27001信息安全管理体系认证证书</w:t>
                  </w:r>
                  <w:r>
                    <w:rPr>
                      <w:rFonts w:ascii="宋体" w:hAnsi="宋体" w:cs="宋体" w:eastAsia="宋体"/>
                      <w:sz w:val="24"/>
                    </w:rPr>
                    <w:t>。</w:t>
                  </w:r>
                </w:p>
                <w:p>
                  <w:pPr>
                    <w:pStyle w:val="null3"/>
                    <w:jc w:val="both"/>
                  </w:pPr>
                  <w:r>
                    <w:rPr>
                      <w:rFonts w:ascii="宋体" w:hAnsi="宋体" w:cs="宋体" w:eastAsia="宋体"/>
                      <w:sz w:val="24"/>
                    </w:rPr>
                    <w:t>11、要求投标产品厂商具备高度的系统成熟度需提供CMMI3证书</w:t>
                  </w:r>
                  <w:r>
                    <w:rPr>
                      <w:rFonts w:ascii="宋体" w:hAnsi="宋体" w:cs="宋体" w:eastAsia="宋体"/>
                      <w:sz w:val="24"/>
                    </w:rPr>
                    <w:t>。</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服务器密码机</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机架设备</w:t>
                  </w:r>
                </w:p>
              </w:tc>
              <w:tc>
                <w:tcPr>
                  <w:tcW w:type="dxa" w:w="1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1、2U定制机箱、机架式导轨（托架）、3A4000（龙芯）CPU、工控主板、8G内存、2T企业级硬盘、长城550W冗余电源、2个RJ-45 10/100/1000M电口、可按需扩展接口、密码卡*1、智能密码钥匙*10</w:t>
                  </w:r>
                  <w:r>
                    <w:rPr>
                      <w:rFonts w:ascii="宋体" w:hAnsi="宋体" w:cs="宋体" w:eastAsia="宋体"/>
                      <w:sz w:val="24"/>
                    </w:rPr>
                    <w:t>。</w:t>
                  </w:r>
                </w:p>
                <w:p>
                  <w:pPr>
                    <w:pStyle w:val="null3"/>
                    <w:jc w:val="both"/>
                  </w:pPr>
                  <w:r>
                    <w:rPr>
                      <w:rFonts w:ascii="宋体" w:hAnsi="宋体" w:cs="宋体" w:eastAsia="宋体"/>
                      <w:sz w:val="24"/>
                    </w:rPr>
                    <w:t>2、性能指标：SM2生密钥（对/秒）≥3500，SM2加密（次/秒）≥6000，SM2解密（次/秒）≥5500，SM4加解密≥400Mbps，SM3（Mbps）≥140。</w:t>
                  </w:r>
                </w:p>
                <w:p>
                  <w:pPr>
                    <w:pStyle w:val="null3"/>
                    <w:jc w:val="both"/>
                  </w:pPr>
                  <w:r>
                    <w:rPr>
                      <w:rFonts w:ascii="宋体" w:hAnsi="宋体" w:cs="宋体" w:eastAsia="宋体"/>
                      <w:sz w:val="24"/>
                    </w:rPr>
                    <w:t>3、主要功能要求：为应用系统提供数据加解密服务，保障数据全生命周期的加解密、以及签名的安全性。</w:t>
                  </w:r>
                </w:p>
                <w:p>
                  <w:pPr>
                    <w:pStyle w:val="null3"/>
                    <w:jc w:val="both"/>
                  </w:pPr>
                  <w:r>
                    <w:rPr>
                      <w:rFonts w:ascii="宋体" w:hAnsi="宋体" w:cs="宋体" w:eastAsia="宋体"/>
                      <w:sz w:val="24"/>
                    </w:rPr>
                    <w:t>4、支持多种标准接口，如符合国密局《公钥密码基础设施应用技术体系密码设备应用接口规范》的接口、PKCS#11、MS CSP、JCE及其高层封装接口、X.509等接口</w:t>
                  </w:r>
                  <w:r>
                    <w:rPr>
                      <w:rFonts w:ascii="宋体" w:hAnsi="宋体" w:cs="宋体" w:eastAsia="宋体"/>
                      <w:sz w:val="24"/>
                    </w:rPr>
                    <w:t>。</w:t>
                  </w:r>
                </w:p>
                <w:p>
                  <w:pPr>
                    <w:pStyle w:val="null3"/>
                    <w:jc w:val="both"/>
                  </w:pPr>
                  <w:r>
                    <w:rPr>
                      <w:rFonts w:ascii="宋体" w:hAnsi="宋体" w:cs="宋体" w:eastAsia="宋体"/>
                      <w:sz w:val="24"/>
                    </w:rPr>
                    <w:t>5、支持非对称算法，包括SM2和RSA算法</w:t>
                  </w:r>
                  <w:r>
                    <w:rPr>
                      <w:rFonts w:ascii="宋体" w:hAnsi="宋体" w:cs="宋体" w:eastAsia="宋体"/>
                      <w:sz w:val="24"/>
                    </w:rPr>
                    <w:t>。</w:t>
                  </w:r>
                </w:p>
                <w:p>
                  <w:pPr>
                    <w:pStyle w:val="null3"/>
                    <w:jc w:val="both"/>
                  </w:pPr>
                  <w:r>
                    <w:rPr>
                      <w:rFonts w:ascii="宋体" w:hAnsi="宋体" w:cs="宋体" w:eastAsia="宋体"/>
                      <w:sz w:val="24"/>
                    </w:rPr>
                    <w:t>6、支持多种对称密码算法，包括SM1、SM4、DES、3DES、AES算法</w:t>
                  </w:r>
                  <w:r>
                    <w:rPr>
                      <w:rFonts w:ascii="宋体" w:hAnsi="宋体" w:cs="宋体" w:eastAsia="宋体"/>
                      <w:sz w:val="24"/>
                    </w:rPr>
                    <w:t>。</w:t>
                  </w:r>
                </w:p>
                <w:p>
                  <w:pPr>
                    <w:pStyle w:val="null3"/>
                    <w:jc w:val="both"/>
                  </w:pPr>
                  <w:r>
                    <w:rPr>
                      <w:rFonts w:ascii="宋体" w:hAnsi="宋体" w:cs="宋体" w:eastAsia="宋体"/>
                      <w:sz w:val="24"/>
                    </w:rPr>
                    <w:t>7、支持分级权限管理，设置管理员和操作员，分别赋予不同的权限，实行分割管理和权限控制</w:t>
                  </w:r>
                  <w:r>
                    <w:rPr>
                      <w:rFonts w:ascii="宋体" w:hAnsi="宋体" w:cs="宋体" w:eastAsia="宋体"/>
                      <w:sz w:val="24"/>
                    </w:rPr>
                    <w:t>。</w:t>
                  </w:r>
                </w:p>
                <w:p>
                  <w:pPr>
                    <w:pStyle w:val="null3"/>
                    <w:jc w:val="both"/>
                  </w:pPr>
                  <w:r>
                    <w:rPr>
                      <w:rFonts w:ascii="宋体" w:hAnsi="宋体" w:cs="宋体" w:eastAsia="宋体"/>
                      <w:sz w:val="24"/>
                    </w:rPr>
                    <w:t>8、要求产品密码机与所配密码卡为同一厂商</w:t>
                  </w:r>
                  <w:r>
                    <w:rPr>
                      <w:rFonts w:ascii="宋体" w:hAnsi="宋体" w:cs="宋体" w:eastAsia="宋体"/>
                      <w:sz w:val="24"/>
                    </w:rPr>
                    <w:t>。</w:t>
                  </w:r>
                </w:p>
                <w:p>
                  <w:pPr>
                    <w:pStyle w:val="null3"/>
                    <w:jc w:val="both"/>
                  </w:pPr>
                  <w:r>
                    <w:rPr>
                      <w:rFonts w:ascii="宋体" w:hAnsi="宋体" w:cs="宋体" w:eastAsia="宋体"/>
                      <w:sz w:val="24"/>
                    </w:rPr>
                    <w:t>9、要求投标产品具备多接口对接能力，包括但不限于PKCS11接口，JCE接口，DASDF接口，定制JAVA接口以及厂商自有高成熟度接口，相关能力甲方保留中标后的测试权利（提供产品相关接口的内容介绍，加盖厂商公章）</w:t>
                  </w:r>
                  <w:r>
                    <w:rPr>
                      <w:rFonts w:ascii="宋体" w:hAnsi="宋体" w:cs="宋体" w:eastAsia="宋体"/>
                      <w:sz w:val="24"/>
                    </w:rPr>
                    <w:t>。</w:t>
                  </w:r>
                </w:p>
                <w:p>
                  <w:pPr>
                    <w:pStyle w:val="null3"/>
                    <w:jc w:val="both"/>
                  </w:pPr>
                  <w:r>
                    <w:rPr>
                      <w:rFonts w:ascii="宋体" w:hAnsi="宋体" w:cs="宋体" w:eastAsia="宋体"/>
                      <w:sz w:val="24"/>
                    </w:rPr>
                    <w:t>10、产品具备《商用密码产品认证证书》、《中国国家强制性产品认证证书》、《中国节能产品认证证书》</w:t>
                  </w:r>
                  <w:r>
                    <w:rPr>
                      <w:rFonts w:ascii="宋体" w:hAnsi="宋体" w:cs="宋体" w:eastAsia="宋体"/>
                      <w:sz w:val="24"/>
                    </w:rPr>
                    <w:t>。</w:t>
                  </w:r>
                </w:p>
                <w:p>
                  <w:pPr>
                    <w:pStyle w:val="null3"/>
                    <w:jc w:val="both"/>
                  </w:pPr>
                  <w:r>
                    <w:rPr>
                      <w:rFonts w:ascii="宋体" w:hAnsi="宋体" w:cs="宋体" w:eastAsia="宋体"/>
                      <w:sz w:val="24"/>
                    </w:rPr>
                    <w:t>11、产品具有相关计算机软件著作权登记证书</w:t>
                  </w:r>
                  <w:r>
                    <w:rPr>
                      <w:rFonts w:ascii="宋体" w:hAnsi="宋体" w:cs="宋体" w:eastAsia="宋体"/>
                      <w:sz w:val="24"/>
                    </w:rPr>
                    <w:t>。</w:t>
                  </w:r>
                </w:p>
                <w:p>
                  <w:pPr>
                    <w:pStyle w:val="null3"/>
                    <w:jc w:val="both"/>
                  </w:pPr>
                  <w:r>
                    <w:rPr>
                      <w:rFonts w:ascii="宋体" w:hAnsi="宋体" w:cs="宋体" w:eastAsia="宋体"/>
                      <w:sz w:val="24"/>
                    </w:rPr>
                    <w:t>12、要求投标产品具备《信息技术产品安全测试证书》</w:t>
                  </w:r>
                  <w:r>
                    <w:rPr>
                      <w:rFonts w:ascii="宋体" w:hAnsi="宋体" w:cs="宋体" w:eastAsia="宋体"/>
                      <w:sz w:val="24"/>
                    </w:rPr>
                    <w:t>。</w:t>
                  </w:r>
                </w:p>
                <w:p>
                  <w:pPr>
                    <w:pStyle w:val="null3"/>
                    <w:jc w:val="both"/>
                  </w:pPr>
                  <w:r>
                    <w:rPr>
                      <w:rFonts w:ascii="宋体" w:hAnsi="宋体" w:cs="宋体" w:eastAsia="宋体"/>
                      <w:sz w:val="24"/>
                    </w:rPr>
                    <w:t>13、要求投标产品厂商具ISO20000信息技术服务管理体系认证证书</w:t>
                  </w:r>
                  <w:r>
                    <w:rPr>
                      <w:rFonts w:ascii="宋体" w:hAnsi="宋体" w:cs="宋体" w:eastAsia="宋体"/>
                      <w:sz w:val="24"/>
                    </w:rPr>
                    <w:t>。</w:t>
                  </w:r>
                </w:p>
                <w:p>
                  <w:pPr>
                    <w:pStyle w:val="null3"/>
                    <w:jc w:val="both"/>
                  </w:pPr>
                  <w:r>
                    <w:rPr>
                      <w:rFonts w:ascii="宋体" w:hAnsi="宋体" w:cs="宋体" w:eastAsia="宋体"/>
                      <w:sz w:val="24"/>
                    </w:rPr>
                    <w:t>14、要求投标产品厂商具ISO27001信息安全管理体系认证证书</w:t>
                  </w:r>
                  <w:r>
                    <w:rPr>
                      <w:rFonts w:ascii="宋体" w:hAnsi="宋体" w:cs="宋体" w:eastAsia="宋体"/>
                      <w:sz w:val="24"/>
                    </w:rPr>
                    <w:t>。</w:t>
                  </w:r>
                </w:p>
                <w:p>
                  <w:pPr>
                    <w:pStyle w:val="null3"/>
                    <w:jc w:val="both"/>
                  </w:pPr>
                  <w:r>
                    <w:rPr>
                      <w:rFonts w:ascii="宋体" w:hAnsi="宋体" w:cs="宋体" w:eastAsia="宋体"/>
                      <w:sz w:val="24"/>
                    </w:rPr>
                    <w:t>15、要求投标产品厂商具备高度的系统成熟度需提供CMMI3证书</w:t>
                  </w:r>
                  <w:r>
                    <w:rPr>
                      <w:rFonts w:ascii="宋体" w:hAnsi="宋体" w:cs="宋体" w:eastAsia="宋体"/>
                      <w:sz w:val="24"/>
                    </w:rPr>
                    <w:t>。</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智能密码钥匙</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终端设备</w:t>
                  </w:r>
                </w:p>
              </w:tc>
              <w:tc>
                <w:tcPr>
                  <w:tcW w:type="dxa" w:w="1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1、实现业务人员密钥的安全存储和个人证书的载体，系统办公使用人员</w:t>
                  </w:r>
                  <w:r>
                    <w:rPr>
                      <w:rFonts w:ascii="宋体" w:hAnsi="宋体" w:cs="宋体" w:eastAsia="宋体"/>
                      <w:sz w:val="24"/>
                    </w:rPr>
                    <w:t>。</w:t>
                  </w:r>
                </w:p>
                <w:p>
                  <w:pPr>
                    <w:pStyle w:val="null3"/>
                    <w:jc w:val="both"/>
                  </w:pPr>
                  <w:r>
                    <w:rPr>
                      <w:rFonts w:ascii="宋体" w:hAnsi="宋体" w:cs="宋体" w:eastAsia="宋体"/>
                      <w:sz w:val="24"/>
                    </w:rPr>
                    <w:t>2、支持国家标准接口，符合GM/T0027《智能密码钥匙技术规范》，满足GM/T0028《密码模块安全技术要求》第二级要求 。</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tc>
      </w:tr>
    </w:tbl>
    <w:p>
      <w:pPr>
        <w:pStyle w:val="null3"/>
        <w:outlineLvl w:val="2"/>
      </w:pPr>
      <w:r>
        <w:rPr>
          <w:sz w:val="28"/>
          <w:b/>
        </w:rPr>
        <w:t>3.2.3人员配置要求</w:t>
      </w:r>
    </w:p>
    <w:p>
      <w:pPr>
        <w:pStyle w:val="null3"/>
      </w:pPr>
      <w:r>
        <w:rPr/>
        <w:t>采购包1：</w:t>
      </w:r>
    </w:p>
    <w:p>
      <w:pPr>
        <w:pStyle w:val="null3"/>
      </w:pPr>
      <w:r>
        <w:rPr/>
        <w:t>/</w:t>
      </w:r>
    </w:p>
    <w:p>
      <w:pPr>
        <w:pStyle w:val="null3"/>
        <w:outlineLvl w:val="2"/>
      </w:pPr>
      <w:r>
        <w:rPr>
          <w:sz w:val="28"/>
          <w:b/>
        </w:rPr>
        <w:t>3.2.4设施设备要求</w:t>
      </w:r>
    </w:p>
    <w:p>
      <w:pPr>
        <w:pStyle w:val="null3"/>
      </w:pPr>
      <w:r>
        <w:rPr/>
        <w:t>采购包1：</w:t>
      </w:r>
    </w:p>
    <w:p>
      <w:pPr>
        <w:pStyle w:val="null3"/>
      </w:pPr>
      <w:r>
        <w:rPr/>
        <w:t>/</w:t>
      </w:r>
    </w:p>
    <w:p>
      <w:pPr>
        <w:pStyle w:val="null3"/>
        <w:outlineLvl w:val="2"/>
      </w:pPr>
      <w:r>
        <w:rPr>
          <w:sz w:val="28"/>
          <w:b/>
        </w:rPr>
        <w:t>3.2.5其他要求</w:t>
      </w:r>
    </w:p>
    <w:p>
      <w:pPr>
        <w:pStyle w:val="null3"/>
      </w:pPr>
      <w:r>
        <w:rPr/>
        <w:t>采购包1：</w:t>
      </w:r>
    </w:p>
    <w:p>
      <w:pPr>
        <w:pStyle w:val="null3"/>
      </w:pPr>
      <w:r>
        <w:rPr/>
        <w:t>/</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自合同签订之日起30日历日。</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参照标准，《财政部关于进一步加强采购需求和履约验收管理的指导意见》（财库（2016）205号）。委托第三方验收。</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签订后一个月内支付合同总价款的60%</w:t>
      </w:r>
      <w:r>
        <w:rPr/>
        <w:t xml:space="preserve"> ，达到付款条件起 </w:t>
      </w:r>
      <w:r>
        <w:rPr/>
        <w:t>30</w:t>
      </w:r>
      <w:r>
        <w:rPr/>
        <w:t xml:space="preserve"> 日内，支付合同总金额的 </w:t>
      </w:r>
      <w:r>
        <w:rPr/>
        <w:t>60.00</w:t>
      </w:r>
      <w:r>
        <w:rPr/>
        <w:t>%。</w:t>
      </w:r>
    </w:p>
    <w:p>
      <w:pPr>
        <w:pStyle w:val="null3"/>
      </w:pPr>
      <w:r>
        <w:rPr/>
        <w:t>采购包1：</w:t>
      </w:r>
      <w:r>
        <w:rPr/>
        <w:t xml:space="preserve"> 付款条件说明： </w:t>
      </w:r>
      <w:r>
        <w:rPr/>
        <w:t>验收合格后</w:t>
      </w:r>
      <w:r>
        <w:rPr/>
        <w:t xml:space="preserve"> ，达到付款条件起 </w:t>
      </w:r>
      <w:r>
        <w:rPr/>
        <w:t>30</w:t>
      </w:r>
      <w:r>
        <w:rPr/>
        <w:t xml:space="preserve"> 日内，支付合同总金额的 </w:t>
      </w:r>
      <w:r>
        <w:rPr/>
        <w:t>40.00</w:t>
      </w:r>
      <w:r>
        <w:rPr/>
        <w:t>%。</w:t>
      </w:r>
    </w:p>
    <w:p>
      <w:pPr>
        <w:pStyle w:val="null3"/>
        <w:outlineLvl w:val="3"/>
      </w:pPr>
      <w:r>
        <w:rPr>
          <w:sz w:val="24"/>
          <w:b/>
        </w:rPr>
        <w:t>3.3.6违约责任及解决争议的方法</w:t>
      </w:r>
    </w:p>
    <w:p>
      <w:pPr>
        <w:pStyle w:val="null3"/>
      </w:pPr>
      <w:r>
        <w:rPr/>
        <w:t>采购包1：</w:t>
      </w:r>
    </w:p>
    <w:p>
      <w:pPr>
        <w:pStyle w:val="null3"/>
      </w:pPr>
      <w:r>
        <w:rPr/>
        <w:t>以双方最终签订和合同内具体条款约定为准。</w:t>
      </w:r>
    </w:p>
    <w:p>
      <w:pPr>
        <w:pStyle w:val="null3"/>
        <w:outlineLvl w:val="2"/>
      </w:pPr>
      <w:r>
        <w:rPr>
          <w:sz w:val="28"/>
          <w:b/>
        </w:rPr>
        <w:t>3.4其他要求</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合格供应商</w:t>
            </w:r>
          </w:p>
        </w:tc>
        <w:tc>
          <w:tcPr>
            <w:tcW w:type="dxa" w:w="3322"/>
          </w:tcPr>
          <w:p>
            <w:pPr>
              <w:pStyle w:val="null3"/>
            </w:pPr>
            <w:r>
              <w:rPr/>
              <w:t>提供有效的企业营业执照/事业单位法人证书/专业服务机构执业许可证/民办非企业单位登记证书（以上四种形式的资料提供任何一种即可），自然人提供身份证（提供原件扫描件）。</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身份证明</w:t>
            </w:r>
          </w:p>
        </w:tc>
        <w:tc>
          <w:tcPr>
            <w:tcW w:type="dxa" w:w="3322"/>
          </w:tcPr>
          <w:p>
            <w:pPr>
              <w:pStyle w:val="null3"/>
            </w:pPr>
            <w:r>
              <w:rPr/>
              <w:t>法定代表人参加磋商须出具法定代表人身份证明（并附有效证件），被授权代理人参加磋商须出具法定代表人授权书及被授权人有效证件。</w:t>
            </w:r>
          </w:p>
        </w:tc>
        <w:tc>
          <w:tcPr>
            <w:tcW w:type="dxa" w:w="1661"/>
          </w:tcPr>
          <w:p>
            <w:pPr>
              <w:pStyle w:val="null3"/>
            </w:pPr>
            <w:r>
              <w:rPr/>
              <w:t>法定代表人身份证明书 法定代表人授权委托书 供应商应提交的相关资格证明材料</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供应商提供2021至2023年任意一年的经审计的财务报告（成立时间至提交投标文件截止时间不足一年的可提供成立后任意时段的资产负债表），或其基本存款账户开户银行出具的资信证明。（复印件加盖供应商公章）</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提供响应文件递交截止时间前6个月内任意一个月已缴纳完税凭证（任意税种）或税务机关开具的完税证明（任意税种）。</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提供响应文件递交截止时间前6个月内任意1个月已缴存的任意时段的社会保障资金缴存单据或社保机构开具的社会保险参保缴费情况证明。</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无重大违法记录声明</w:t>
            </w:r>
          </w:p>
        </w:tc>
        <w:tc>
          <w:tcPr>
            <w:tcW w:type="dxa" w:w="3322"/>
          </w:tcPr>
          <w:p>
            <w:pPr>
              <w:pStyle w:val="null3"/>
            </w:pPr>
            <w:r>
              <w:rPr/>
              <w:t>参加政府采购活动近三年内，在经营活动中没有重大违法记录，提供书面声明。</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供应商信誉</w:t>
            </w:r>
          </w:p>
        </w:tc>
        <w:tc>
          <w:tcPr>
            <w:tcW w:type="dxa" w:w="3322"/>
          </w:tcPr>
          <w:p>
            <w:pPr>
              <w:pStyle w:val="null3"/>
            </w:pPr>
            <w:r>
              <w:rPr/>
              <w:t>供应商不得为“信用中国(www.creditchina.gov.cn)”中列入重大税收违法失信主体、严重失信主体名单及政府采购严重违法失信行为记录名单查询的供应商；不得在“中国执行信息公开网(http://zxgk.court.gov.cn)”被列为失信被执行人；不得被列入“国家企业信用信息公示系统(http://www.gsxt.gov.cn/index.html)”行政处罚信息、经营异常名录信息及严重违法失信名单；不得为“中国政府采购网(www.ccgp.gov.cn)”政府采购严重违法失信行为记录名单中被财政部门禁止参加政府采购活动的供应商；（“信用中国”及“中国执行信息公开网”应同时提供法定代表人或负责人查询截图且不得被列入以上名单，以上提供网页查询打印预览截图，查询时间为各供应商领取响应文件之日至递交响应文件截止之日期间有效，打印背景体现查询日期。）</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设备和专业技术能力承诺</w:t>
            </w:r>
          </w:p>
        </w:tc>
        <w:tc>
          <w:tcPr>
            <w:tcW w:type="dxa" w:w="3322"/>
          </w:tcPr>
          <w:p>
            <w:pPr>
              <w:pStyle w:val="null3"/>
            </w:pPr>
            <w:r>
              <w:rPr/>
              <w:t>具有履行合同所必需的设备和专业技术能力，提供证明材料或书面承诺并加盖公章。</w:t>
            </w:r>
          </w:p>
        </w:tc>
        <w:tc>
          <w:tcPr>
            <w:tcW w:type="dxa" w:w="1661"/>
          </w:tcPr>
          <w:p>
            <w:pPr>
              <w:pStyle w:val="null3"/>
            </w:pPr>
            <w:r>
              <w:rPr/>
              <w:t>供应商应提交的相关资格证明材料</w:t>
            </w:r>
          </w:p>
        </w:tc>
      </w:tr>
      <w:tr>
        <w:tc>
          <w:tcPr>
            <w:tcW w:type="dxa" w:w="831"/>
          </w:tcPr>
          <w:p>
            <w:pPr>
              <w:pStyle w:val="null3"/>
            </w:pPr>
            <w:r>
              <w:rPr/>
              <w:t>9</w:t>
            </w:r>
          </w:p>
        </w:tc>
        <w:tc>
          <w:tcPr>
            <w:tcW w:type="dxa" w:w="2492"/>
          </w:tcPr>
          <w:p>
            <w:pPr>
              <w:pStyle w:val="null3"/>
            </w:pPr>
            <w:r>
              <w:rPr/>
              <w:t>本项目非联合体磋商</w:t>
            </w:r>
          </w:p>
        </w:tc>
        <w:tc>
          <w:tcPr>
            <w:tcW w:type="dxa" w:w="3322"/>
          </w:tcPr>
          <w:p>
            <w:pPr>
              <w:pStyle w:val="null3"/>
            </w:pPr>
            <w:r>
              <w:rPr/>
              <w:t>提供非联合体磋商声明。</w:t>
            </w:r>
          </w:p>
        </w:tc>
        <w:tc>
          <w:tcPr>
            <w:tcW w:type="dxa" w:w="1661"/>
          </w:tcPr>
          <w:p>
            <w:pPr>
              <w:pStyle w:val="null3"/>
            </w:pPr>
            <w:r>
              <w:rPr/>
              <w:t>供应商应提交的相关资格证明材料</w:t>
            </w:r>
          </w:p>
        </w:tc>
      </w:tr>
      <w:tr>
        <w:tc>
          <w:tcPr>
            <w:tcW w:type="dxa" w:w="831"/>
          </w:tcPr>
          <w:p>
            <w:pPr>
              <w:pStyle w:val="null3"/>
            </w:pPr>
            <w:r>
              <w:rPr/>
              <w:t>10</w:t>
            </w:r>
          </w:p>
        </w:tc>
        <w:tc>
          <w:tcPr>
            <w:tcW w:type="dxa" w:w="2492"/>
          </w:tcPr>
          <w:p>
            <w:pPr>
              <w:pStyle w:val="null3"/>
            </w:pPr>
            <w:r>
              <w:rPr/>
              <w:t>备注</w:t>
            </w:r>
          </w:p>
        </w:tc>
        <w:tc>
          <w:tcPr>
            <w:tcW w:type="dxa" w:w="3322"/>
          </w:tcPr>
          <w:p>
            <w:pPr>
              <w:pStyle w:val="null3"/>
            </w:pPr>
            <w:r>
              <w:rPr/>
              <w:t>1、以上资格要求均为必备资格，缺少其中任何一项，其响应文件视为无效文件。法定代表人身份证明书、法定代表人授权委托书应按采购文件给定的格式填写。 2、分支机构参与投标时，投标文件中应附法人企业出具的授权书，总公司及授权分公司可就本项目或此类项目在一定范围或时间内出具法人企业授权书进行转授权（授权仅限分公司范围内）。法人企业不能与分支机构同时参与投标。已由法人企业授权的，法人企业取得的相关资质证书对分支机构有效。</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磋商报价</w:t>
            </w:r>
          </w:p>
        </w:tc>
        <w:tc>
          <w:tcPr>
            <w:tcW w:type="dxa" w:w="3322"/>
          </w:tcPr>
          <w:p>
            <w:pPr>
              <w:pStyle w:val="null3"/>
            </w:pPr>
            <w:r>
              <w:rPr/>
              <w:t>只能有一个有效报价，供应商报价不得超过采购预算或最高限价</w:t>
            </w:r>
          </w:p>
        </w:tc>
        <w:tc>
          <w:tcPr>
            <w:tcW w:type="dxa" w:w="1661"/>
          </w:tcPr>
          <w:p>
            <w:pPr>
              <w:pStyle w:val="null3"/>
            </w:pPr>
            <w:r>
              <w:rPr/>
              <w:t>响应文件封面 标的清单 报价表 响应函</w:t>
            </w:r>
          </w:p>
        </w:tc>
      </w:tr>
      <w:tr>
        <w:tc>
          <w:tcPr>
            <w:tcW w:type="dxa" w:w="831"/>
          </w:tcPr>
          <w:p>
            <w:pPr>
              <w:pStyle w:val="null3"/>
            </w:pPr>
            <w:r>
              <w:rPr/>
              <w:t>3</w:t>
            </w:r>
          </w:p>
        </w:tc>
        <w:tc>
          <w:tcPr>
            <w:tcW w:type="dxa" w:w="2492"/>
          </w:tcPr>
          <w:p>
            <w:pPr>
              <w:pStyle w:val="null3"/>
            </w:pPr>
            <w:r>
              <w:rPr/>
              <w:t>响应文件格式及签字盖章</w:t>
            </w:r>
          </w:p>
        </w:tc>
        <w:tc>
          <w:tcPr>
            <w:tcW w:type="dxa" w:w="3322"/>
          </w:tcPr>
          <w:p>
            <w:pPr>
              <w:pStyle w:val="null3"/>
            </w:pPr>
            <w:r>
              <w:rPr/>
              <w:t>按磋商响应文件格式要求签字盖章</w:t>
            </w:r>
          </w:p>
        </w:tc>
        <w:tc>
          <w:tcPr>
            <w:tcW w:type="dxa" w:w="1661"/>
          </w:tcPr>
          <w:p>
            <w:pPr>
              <w:pStyle w:val="null3"/>
            </w:pPr>
            <w:r>
              <w:rPr/>
              <w:t>服务内容及服务邀请应答表 法定代表人授权委托书 中小企业声明函 商务应答表 供应商应提交的相关资格证明材料 报价表 响应文件封面 法定代表人身份证明书 其他资料 残疾人福利性单位声明函 服务方案 标的清单 供应商类似项目业绩一览表 响应函 监狱企业的证明文件</w:t>
            </w:r>
          </w:p>
        </w:tc>
      </w:tr>
      <w:tr>
        <w:tc>
          <w:tcPr>
            <w:tcW w:type="dxa" w:w="831"/>
          </w:tcPr>
          <w:p>
            <w:pPr>
              <w:pStyle w:val="null3"/>
            </w:pPr>
            <w:r>
              <w:rPr/>
              <w:t>4</w:t>
            </w:r>
          </w:p>
        </w:tc>
        <w:tc>
          <w:tcPr>
            <w:tcW w:type="dxa" w:w="2492"/>
          </w:tcPr>
          <w:p>
            <w:pPr>
              <w:pStyle w:val="null3"/>
            </w:pPr>
            <w:r>
              <w:rPr/>
              <w:t>磋商有效期</w:t>
            </w:r>
          </w:p>
        </w:tc>
        <w:tc>
          <w:tcPr>
            <w:tcW w:type="dxa" w:w="3322"/>
          </w:tcPr>
          <w:p>
            <w:pPr>
              <w:pStyle w:val="null3"/>
            </w:pPr>
            <w:r>
              <w:rPr/>
              <w:t>满足磋商文件要求</w:t>
            </w:r>
          </w:p>
        </w:tc>
        <w:tc>
          <w:tcPr>
            <w:tcW w:type="dxa" w:w="1661"/>
          </w:tcPr>
          <w:p>
            <w:pPr>
              <w:pStyle w:val="null3"/>
            </w:pPr>
            <w:r>
              <w:rPr/>
              <w:t>响应函</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详细评审85.0000分</w:t>
            </w:r>
          </w:p>
          <w:p>
            <w:pPr>
              <w:pStyle w:val="null3"/>
            </w:pPr>
            <w:r>
              <w:rPr/>
              <w:t>报价得分15.0000分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技术及功能 要求</w:t>
            </w:r>
          </w:p>
        </w:tc>
        <w:tc>
          <w:tcPr>
            <w:tcW w:type="dxa" w:w="2492"/>
          </w:tcPr>
          <w:p>
            <w:pPr>
              <w:pStyle w:val="null3"/>
            </w:pPr>
            <w:r>
              <w:rPr/>
              <w:t>1、技术文件的指标项需提供功能截图、白皮书或者产品资质证书等证明材料，满足技术需求文件中产品技术指标的全部技术指标并提供对应证明材料的得30分，每不满足一项将导致扣1分，得分扣完为止。 2、结合客户实际情况给出合理切实可行的密码应用方案，优[8-10]分，良[5-8)分，一般[0-5)分，打分步长为1分，较差或无响应得0分。</w:t>
            </w:r>
          </w:p>
        </w:tc>
        <w:tc>
          <w:tcPr>
            <w:tcW w:type="dxa" w:w="831"/>
          </w:tcPr>
          <w:p>
            <w:pPr>
              <w:pStyle w:val="null3"/>
              <w:jc w:val="right"/>
            </w:pPr>
            <w:r>
              <w:rPr/>
              <w:t>40.0000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实施与服务保障能力</w:t>
            </w:r>
          </w:p>
        </w:tc>
        <w:tc>
          <w:tcPr>
            <w:tcW w:type="dxa" w:w="2492"/>
          </w:tcPr>
          <w:p>
            <w:pPr>
              <w:pStyle w:val="null3"/>
            </w:pPr>
            <w:r>
              <w:rPr/>
              <w:t>供应商需根据项目的整体要求，提供完备的项目实施团队，并提供相应的证明材料；根据响应情况 优[10-15]分，良[5-9)分，一般[0-4)分。未提供不得分。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产品质量保障</w:t>
            </w:r>
          </w:p>
        </w:tc>
        <w:tc>
          <w:tcPr>
            <w:tcW w:type="dxa" w:w="2492"/>
          </w:tcPr>
          <w:p>
            <w:pPr>
              <w:pStyle w:val="null3"/>
            </w:pPr>
            <w:r>
              <w:rPr/>
              <w:t>根据供应商提供的质量标准及控制方案进行评审：（1）产品质量保障方案内容详细完善、切实可行得[7-10]分；（2）产品质量保障方案内容较全面、具备一定的可实施性得[5-7]分；（3）产品质量保障方案内容一般，实施性较差得[1-5]分。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售后服务</w:t>
            </w:r>
          </w:p>
        </w:tc>
        <w:tc>
          <w:tcPr>
            <w:tcW w:type="dxa" w:w="2492"/>
          </w:tcPr>
          <w:p>
            <w:pPr>
              <w:pStyle w:val="null3"/>
            </w:pPr>
            <w:r>
              <w:rPr/>
              <w:t>1.供应商应当提供及时响应服务及售后服务机构证明材料，服务期内每天24小时响应，如设备发生故障，服务团队应在4小时内完成修复，确保系统无间断正常使用。根据响应程度得0-8分。不响应得0分 2.提供详尽的技术培训方案及培训计划，包含针对本项目培训方案，并列出培训的具体内容和方式，确保使用人员能够独立操作。并进行简单故障排查处理（包括：培训人数、培训时间、培训内容等），根据响应程度满分得0-7分。不响应得0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为保证投标产品的适配性，供应商所投产品的厂商应提供密码产品相关销售案例并提供证明材料，每提供一项得2.5分，满分5分。未提供不得分。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商务应答表</w:t>
            </w:r>
          </w:p>
          <w:p>
            <w:pPr>
              <w:pStyle w:val="null3"/>
            </w:pPr>
            <w:r>
              <w:rPr/>
              <w:t>服务方案</w:t>
            </w:r>
          </w:p>
          <w:p>
            <w:pPr>
              <w:pStyle w:val="null3"/>
            </w:pPr>
            <w:r>
              <w:rPr/>
              <w:t>供应商类似项目业绩一览表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价格评分采用低价优先法计算，即满足磋商要求且响应报价最低的供应商的价格为评标基准价，其价格分为满分。报价得分＝（评标基准价/最终报价）×15</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详见附件：法定代表人身份证明书</w:t>
      </w:r>
    </w:p>
    <w:p>
      <w:pPr>
        <w:pStyle w:val="null3"/>
        <w:ind w:firstLine="960"/>
      </w:pPr>
      <w:r>
        <w:rPr/>
        <w:t>详见附件：法定代表人授权委托书</w:t>
      </w:r>
    </w:p>
    <w:p>
      <w:pPr>
        <w:pStyle w:val="null3"/>
        <w:ind w:firstLine="960"/>
      </w:pPr>
      <w:r>
        <w:rPr/>
        <w:t>详见附件：供应商类似项目业绩一览表</w:t>
      </w:r>
    </w:p>
    <w:p>
      <w:pPr>
        <w:pStyle w:val="null3"/>
        <w:ind w:firstLine="960"/>
      </w:pPr>
      <w:r>
        <w:rPr/>
        <w:t>详见附件：其他资料</w:t>
      </w:r>
    </w:p>
    <w:p>
      <w:pPr>
        <w:pStyle w:val="null3"/>
        <w:ind w:firstLine="960"/>
      </w:pPr>
      <w:r>
        <w:rPr/>
        <w:t>详见附件：供应商应提交的相关资格证明材料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详见附件：合同范本(1).docx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