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版本号：240726001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市法院信创（AK）工作项目</w:t>
      </w:r>
    </w:p>
    <w:p>
      <w:pPr>
        <w:pStyle w:val="null3"/>
        <w:jc w:val="center"/>
        <w:outlineLvl w:val="2"/>
      </w:pPr>
      <w:r>
        <w:rPr>
          <w:sz w:val="28"/>
          <w:b/>
        </w:rPr>
        <w:t>采购项目编号：</w:t>
      </w:r>
      <w:r>
        <w:rPr>
          <w:sz w:val="28"/>
          <w:b/>
        </w:rPr>
        <w:t>TCZFCG-2024-00492</w:t>
      </w:r>
      <w:r>
        <w:br/>
      </w:r>
      <w:r>
        <w:br/>
      </w:r>
      <w:r>
        <w:br/>
      </w:r>
    </w:p>
    <w:p>
      <w:pPr>
        <w:pStyle w:val="null3"/>
        <w:jc w:val="center"/>
        <w:outlineLvl w:val="2"/>
      </w:pPr>
      <w:r>
        <w:rPr>
          <w:sz w:val="28"/>
          <w:b/>
        </w:rPr>
        <w:t>陕西省铜川市中级人民法院</w:t>
      </w:r>
    </w:p>
    <w:p>
      <w:pPr>
        <w:pStyle w:val="null3"/>
        <w:jc w:val="center"/>
        <w:outlineLvl w:val="2"/>
      </w:pPr>
      <w:r>
        <w:rPr>
          <w:sz w:val="28"/>
          <w:b/>
        </w:rPr>
        <w:t>铜川市政府采购中心</w:t>
      </w:r>
      <w:r>
        <w:rPr>
          <w:sz w:val="28"/>
          <w:b/>
        </w:rPr>
        <w:t>共同编制</w:t>
      </w:r>
    </w:p>
    <w:p>
      <w:pPr>
        <w:pStyle w:val="null3"/>
        <w:jc w:val="center"/>
        <w:outlineLvl w:val="2"/>
      </w:pPr>
      <w:r>
        <w:rPr>
          <w:sz w:val="28"/>
          <w:b/>
        </w:rPr>
        <w:t>2024年07月26日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铜川市政府采购中心</w:t>
      </w:r>
      <w:r>
        <w:rPr/>
        <w:t>（以下简称“代理机构”）受</w:t>
      </w:r>
      <w:r>
        <w:rPr/>
        <w:t>陕西省铜川市中级人民法院</w:t>
      </w:r>
      <w:r>
        <w:rPr/>
        <w:t>委托，拟对</w:t>
      </w:r>
      <w:r>
        <w:rPr/>
        <w:t>市法院信创（AK）工作项目</w:t>
      </w:r>
      <w:r>
        <w:rPr/>
        <w:t>采用竞争性谈判采购方式进行采购，兹邀请供应商参加本项目的竞争性谈判。</w:t>
      </w:r>
    </w:p>
    <w:p>
      <w:pPr>
        <w:pStyle w:val="null3"/>
        <w:outlineLvl w:val="2"/>
      </w:pPr>
      <w:r>
        <w:rPr>
          <w:sz w:val="28"/>
          <w:b/>
        </w:rPr>
        <w:t>一、项目编号：</w:t>
      </w:r>
      <w:r>
        <w:rPr>
          <w:sz w:val="28"/>
          <w:b/>
        </w:rPr>
        <w:t>TCZFCG-2024-00492</w:t>
      </w:r>
    </w:p>
    <w:p>
      <w:pPr>
        <w:pStyle w:val="null3"/>
        <w:outlineLvl w:val="2"/>
      </w:pPr>
      <w:r>
        <w:rPr>
          <w:sz w:val="28"/>
          <w:b/>
        </w:rPr>
        <w:t>二、项目名称：</w:t>
      </w:r>
      <w:r>
        <w:rPr>
          <w:sz w:val="28"/>
          <w:b/>
        </w:rPr>
        <w:t>市法院信创（AK）工作项目</w:t>
      </w:r>
    </w:p>
    <w:p>
      <w:pPr>
        <w:pStyle w:val="null3"/>
        <w:outlineLvl w:val="2"/>
      </w:pPr>
      <w:r>
        <w:rPr>
          <w:sz w:val="28"/>
          <w:b/>
        </w:rPr>
        <w:t>三、谈判项目简介：</w:t>
      </w:r>
    </w:p>
    <w:p>
      <w:pPr>
        <w:pStyle w:val="null3"/>
        <w:ind w:firstLine="480"/>
      </w:pPr>
      <w:r>
        <w:rPr/>
        <w:t>市法院信创（AK）硬件产品，详见采购需求。</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1、资格审查：A、依法注册，并有效存续的营业执照、税务登记证、组织机构代码证，或“三证合一”后的营业执照。 B、提供经会计事务所或审计机构出具的2022年度或2023年度财务报告，成立时间至提交响应文件截止时间不足一年的可提供成立后任意时段的财务报表或其开标前三个月内基本存款账户开户银行出具的资信证明，或信用担保机构出具的投标担保函（以上形式的资料提供任何一种即可）。 C、社会保障资金交纳证明：自2022年1月1日以来已缴存的至少一个月的社会保障资金缴存单据或社保机构开具的社会保险参保缴费(养老、医疗、失业)情况证明，单据或证明上应有社保机构或代收机构的公章。依法不需要交纳社会保障资金的供应商应提供相关文件证明。 D、税收交纳证明：自2022年1月1日以来已交纳的至少一个月的纳税证明或完税证明，纳税证明或完税证明上应有代收机构或税务机关的公章。依法免税的供应商应提供相关文件证明。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陕西省铜川市中级人民法院</w:t>
      </w:r>
    </w:p>
    <w:p>
      <w:pPr>
        <w:pStyle w:val="null3"/>
      </w:pPr>
      <w:r>
        <w:rPr/>
        <w:t xml:space="preserve"> 地址： </w:t>
      </w:r>
      <w:r>
        <w:rPr/>
        <w:t>陕西省铜川市新区长虹路</w:t>
      </w:r>
    </w:p>
    <w:p>
      <w:pPr>
        <w:pStyle w:val="null3"/>
      </w:pPr>
      <w:r>
        <w:rPr/>
        <w:t xml:space="preserve"> 邮编： </w:t>
      </w:r>
      <w:r>
        <w:rPr/>
        <w:t>727031</w:t>
      </w:r>
    </w:p>
    <w:p>
      <w:pPr>
        <w:pStyle w:val="null3"/>
      </w:pPr>
      <w:r>
        <w:rPr/>
        <w:t xml:space="preserve"> 联系人： </w:t>
      </w:r>
      <w:r>
        <w:rPr/>
        <w:t>白梅</w:t>
      </w:r>
    </w:p>
    <w:p>
      <w:pPr>
        <w:pStyle w:val="null3"/>
      </w:pPr>
      <w:r>
        <w:rPr/>
        <w:t xml:space="preserve"> 联系电话： </w:t>
      </w:r>
      <w:r>
        <w:rPr/>
        <w:t>18220493536</w:t>
      </w:r>
    </w:p>
    <w:p>
      <w:pPr>
        <w:pStyle w:val="null3"/>
        <w:outlineLvl w:val="3"/>
      </w:pPr>
      <w:r>
        <w:rPr>
          <w:sz w:val="24"/>
          <w:b/>
        </w:rPr>
        <w:t>代理机构：</w:t>
      </w:r>
      <w:r>
        <w:rPr>
          <w:sz w:val="24"/>
          <w:b/>
        </w:rPr>
        <w:t>铜川市政府采购中心</w:t>
      </w:r>
    </w:p>
    <w:p>
      <w:pPr>
        <w:pStyle w:val="null3"/>
      </w:pPr>
      <w:r>
        <w:rPr/>
        <w:t xml:space="preserve"> 地址： </w:t>
      </w:r>
      <w:r>
        <w:rPr/>
        <w:t>陕西省铜川市耀州区铜川市新区齐庆路中段人社大厦</w:t>
      </w:r>
    </w:p>
    <w:p>
      <w:pPr>
        <w:pStyle w:val="null3"/>
      </w:pPr>
      <w:r>
        <w:rPr/>
        <w:t xml:space="preserve"> 邮编： </w:t>
      </w:r>
      <w:r>
        <w:rPr/>
        <w:t>727031</w:t>
      </w:r>
    </w:p>
    <w:p>
      <w:pPr>
        <w:pStyle w:val="null3"/>
      </w:pPr>
      <w:r>
        <w:rPr/>
        <w:t xml:space="preserve"> 联系人： </w:t>
      </w:r>
      <w:r>
        <w:rPr/>
        <w:t>李先生</w:t>
      </w:r>
    </w:p>
    <w:p>
      <w:pPr>
        <w:pStyle w:val="null3"/>
      </w:pPr>
      <w:r>
        <w:rPr/>
        <w:t xml:space="preserve"> 联系电话： </w:t>
      </w:r>
      <w:r>
        <w:rPr/>
        <w:t>09192859994</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采购包1：711,480.00元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本项目不收取代理服务费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陕西省铜川市中级人民法院</w:t>
      </w:r>
      <w:r>
        <w:rPr/>
        <w:t>和</w:t>
      </w:r>
      <w:r>
        <w:rPr/>
        <w:t>铜川市政府采购中心</w:t>
      </w:r>
      <w:r>
        <w:rPr/>
        <w:t>享有。竞争性谈判文件中供应商参加本次政府采购活动应当具备的条件、技术清单、参数、商务及其他要求由</w:t>
      </w:r>
      <w:r>
        <w:rPr/>
        <w:t>陕西省铜川市中级人民法院</w:t>
      </w:r>
      <w:r>
        <w:rPr/>
        <w:t>负责解释。除上述竞争性谈判文件内容，其他内容由</w:t>
      </w:r>
      <w:r>
        <w:rPr/>
        <w:t>铜川市政府采购中心</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陕西省铜川市中级人民法院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铜川市政府采购中心</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以招投标文件、采购项目合同约定为准。</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铜川市政府采购中心</w:t>
      </w:r>
      <w:r>
        <w:rPr/>
        <w:t xml:space="preserve"> 负责答复；供应商对除采购需求外的采购文件的询问、质疑由</w:t>
      </w:r>
      <w:r>
        <w:rPr/>
        <w:t>铜川市政府采购中心</w:t>
      </w:r>
      <w:r>
        <w:rPr/>
        <w:t xml:space="preserve"> 负责答复；供应商对采购过程、采购结果的询问、质疑由 </w:t>
      </w:r>
      <w:r>
        <w:rPr/>
        <w:t>铜川市政府采购中心</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联系人：李先生</w:t>
      </w:r>
    </w:p>
    <w:p>
      <w:pPr>
        <w:pStyle w:val="null3"/>
      </w:pPr>
      <w:r>
        <w:rPr/>
        <w:t>联系电话：09192859994</w:t>
      </w:r>
    </w:p>
    <w:p>
      <w:pPr>
        <w:pStyle w:val="null3"/>
      </w:pPr>
      <w:r>
        <w:rPr/>
        <w:t>地址：陕西省铜川市新区齐庆路中段人社大厦三楼</w:t>
      </w:r>
    </w:p>
    <w:p>
      <w:pPr>
        <w:pStyle w:val="null3"/>
      </w:pPr>
      <w:r>
        <w:rPr/>
        <w:t>邮编：727031</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高院关于印发《陕西法院信息化建设三年发展规划（2023-2025）》的通知（陕高法〔203〕51号）要求，全省中基层法院计划于2024年完成国产化替代的50%。根我院实际情况，2024年计划进行电脑终端国产化替代共60台（包括桌面操作系统、浏览器、版式软件、流式软件），打印机、扫描仪国产化替代各30台。</w:t>
      </w:r>
    </w:p>
    <w:p>
      <w:pPr>
        <w:pStyle w:val="null3"/>
        <w:outlineLvl w:val="2"/>
      </w:pPr>
      <w:r>
        <w:rPr>
          <w:sz w:val="28"/>
          <w:b/>
        </w:rPr>
        <w:t>3.2采购内容</w:t>
      </w:r>
    </w:p>
    <w:p>
      <w:pPr>
        <w:pStyle w:val="null3"/>
      </w:pPr>
      <w:r>
        <w:rPr/>
        <w:t>采购包1：</w:t>
      </w:r>
    </w:p>
    <w:p>
      <w:pPr>
        <w:pStyle w:val="null3"/>
      </w:pPr>
      <w:r>
        <w:rPr/>
        <w:t>采购包预算金额（元）: 711,480.00</w:t>
      </w:r>
    </w:p>
    <w:p>
      <w:pPr>
        <w:pStyle w:val="null3"/>
      </w:pPr>
      <w:r>
        <w:rPr/>
        <w:t>采购包最高限价（元）: 711,480.00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711480</w:t>
            </w:r>
          </w:p>
        </w:tc>
        <w:tc>
          <w:tcPr>
            <w:tcW w:type="dxa" w:w="831"/>
          </w:tcPr>
          <w:p>
            <w:pPr>
              <w:pStyle w:val="null3"/>
              <w:jc w:val="right"/>
            </w:pPr>
            <w:r>
              <w:rPr/>
              <w:t>1.00</w:t>
            </w:r>
          </w:p>
        </w:tc>
        <w:tc>
          <w:tcPr>
            <w:tcW w:type="dxa" w:w="831"/>
          </w:tcPr>
          <w:p>
            <w:pPr>
              <w:pStyle w:val="null3"/>
              <w:jc w:val="right"/>
            </w:pPr>
            <w:r>
              <w:rPr/>
              <w:t>711,480.00</w:t>
            </w:r>
          </w:p>
        </w:tc>
        <w:tc>
          <w:tcPr>
            <w:tcW w:type="dxa" w:w="831"/>
          </w:tcPr>
          <w:p>
            <w:pPr>
              <w:pStyle w:val="null3"/>
            </w:pPr>
            <w:r>
              <w:rPr/>
              <w:t>批</w:t>
            </w:r>
          </w:p>
        </w:tc>
        <w:tc>
          <w:tcPr>
            <w:tcW w:type="dxa" w:w="831"/>
          </w:tcPr>
          <w:p>
            <w:pPr>
              <w:pStyle w:val="null3"/>
            </w:pPr>
            <w:r>
              <w:rPr/>
              <w:t>零售业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标的名称：711480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★电脑办公终端60台：国产自主品牌。在《aktd工程核心产品名录－1－2021》中，提供原厂承诺函并加盖原厂专用章。1颗国产CPU，CPU物理核心数8核，主频2.7GHz，支持超线程技术；内存16GB，4个内存插槽；硬盘1块256GB SSD硬盘+1T机械硬盘；包含法院应用适配服务，以及卷宗备份服务；含23.8英寸显示器。dvd。含三年服务。国家信息中心信息安全研究与服务中心1 年数据恢复服务 ▲1）在国产系统下可实现批量远程命令执行：管理员可以批量发送远程命令或脚本设置，由终端进行执行，从而实现对终端的批量管理和维护。（可满足慧谷安装插件要求） ▲2）全文检索：终端在国产系统下可以实现文件名及文件内容（文档类）的全文检索功能。1万个文件的全文检索速度在3秒以内。（随案卷宗整理要求） ▲3）在国产系统下可实现终端间的文件和文件夹传输通过文件传输码的方式，实现各终端间可以一对一或者一对多的文件及文件夹分享和传输，便捷整个网络内的数据交互。（数据迁移要求） ▲4）在国产系统下可实现个性化文件的实时备份各终端可以对个性化文件（默认各文档类文件）进行备份，从而避免了个性化文件的丢失和损坏。（数据备份要求） ▲5）在国产系统下可实现基本操作系统的分发通过多镜像的方式，能够实现操作系统向终端的分发，分发后，自动匹配IP地址及系统唯一标识。极大方便了多型多个终端的安装和维护。（系统升级要求） ▲6）支持所有外设包含打印机扫描仪设备：支持扫描仪的驱动和扫描；（外设适配） ▲7）精细化管理USB口：可以对USB接口统一配置，也可根据终端使用部门的不同进行不同策略配置，针对不同的外设进行精细化设置管理。从驱动层对移动存储设备、便携式设备、软驱、并口、串口、调制解调器、行为控制设备控制打印机、扫描器、手机、声卡、智能卡等接入设备控制，通过白名单的方式，在禁用移动存储设备时不影响USB接口鼠标键盘打印机的使用；（提供截图加盖公章）为信创产品；提供三年内免费外设适配服务。</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桌面操作系统60套：支持龙芯、兆芯、飞腾、鲲鹏、海光等主流国产CPU。含一年服务，</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t>浏览器软件60套：客户端，含一年服务，1年免费升级.法院专用安全浏览器以360安全浏览器为基座进行专属定制，遵循web系统建设标准，符合信创合规性要求，内含安全浏览器密码模块。完美兼容全国法院共同使用的业务系统，与各类业务功能、流版签插件、网关、CA、Key等软硬件产品联合开发适配。为全国的各级法院办公人员提供统一、高效安全智能的办公服务，3年质保。</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t>流式软件60套：支持字表处理、电子表格、演示文稿，支持主流的流版转换，显示效果、API、操作均与国内外主流office兼容。含一年服务，1年免费升级。具备主界面、文件管理、页面设置、视图管理、编辑管理、插入管理、格式管理、工具、表格管理、对象管理、审阅管理、引用管理、插件管理、打印、另存等基本功能，提供文字处理、电子表格、文档演示三大应用，支持PDF阅读，支持OFD文件的阅读、搜索、印章、水印、批注、流式转版式功能，集成编辑、视图、运行等40项以上功能的WPS宏编辑模块和格式、要素、审阅、文印等60项以上功能的公文组件。支持国内外文档标准规范，兼容国内外主流流式软件。</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t>版式软件60套： 1.国产化环境及业务标准：支持安全可靠操作系统；支持自主可控CPU，符合OFD版式文档格式标准及电子公文应用领域的相关标准规范； 2.文件操作：支持OFD/PDF文件的打开、保存、另存等基本文件操作，支持自动保存，可查看文档元数据、字体集及文档权限声明等文档属性，支持用户查看和添加自定义元数据；支持将打开的文件另存为PDF、纯文本、图片序列或多页TIFF格式，支持OFD PDF互转功能，提供OFD PDF 互转软件著作权登记证证明； 3.文件输出：具备将图片、版式文件输出为TXT、双层OFD、双层PDF功能，输出的同时支持文件扫描高压缩,无损压缩最高可达80%, 并提供相关软件著作权及提供功能截图证明； 4.文字识别：支持自动文字识别、指定区域识别，提供产品截图等证明资料； 5.▲成熟度：所投产品厂商参与过OFD标准制定并起到主要作用，提案被采用占比超过45%，提供证明文件，并加盖原厂商印章。 ▲产品能力 ：提供与硬件厂家关于法院行业的在审批执行等系统下的适配性证明。（截图加盖双方公章）</w:t>
            </w:r>
          </w:p>
        </w:tc>
      </w:tr>
      <w:tr>
        <w:tc>
          <w:tcPr>
            <w:tcW w:type="dxa" w:w="2769"/>
          </w:tcPr>
          <w:p>
            <w:pPr>
              <w:pStyle w:val="null3"/>
            </w:pPr>
            <w:r>
              <w:rPr/>
              <w:t>▲</w:t>
            </w:r>
          </w:p>
        </w:tc>
        <w:tc>
          <w:tcPr>
            <w:tcW w:type="dxa" w:w="2769"/>
          </w:tcPr>
          <w:p>
            <w:pPr>
              <w:pStyle w:val="null3"/>
            </w:pPr>
            <w:r>
              <w:rPr/>
              <w:t>6</w:t>
            </w:r>
          </w:p>
        </w:tc>
        <w:tc>
          <w:tcPr>
            <w:tcW w:type="dxa" w:w="2769"/>
          </w:tcPr>
          <w:p>
            <w:pPr>
              <w:pStyle w:val="null3"/>
            </w:pPr>
            <w:r>
              <w:rPr/>
              <w:t>扫描仪30台：A4馈纸式，具备分辨率设置、图像处理参数设置、图像拆分/合并、重张检测、扫描预览、图像旋转、尺寸检测、OCR文字设别、去背景色、自动裁剪等基本功能，支持各类文档、证件类档案扫描。平均一分钟扫描50页；符合GB/T28166－2011《馈纸式扫描仪通用规范》和基础通用产品扫描仪测试规范的要求。处理器数量：2处理器。质保一年，提供3年保修服务，根据CPU芯片和操作系统升级以及信创目录更新，提供3年内免费适配服务。</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t>复印打印一体机30台：基本要求：A4幅面；打印、复印、扫描一体机；功能要求：具备文字文档打印、图片打印、份数设置、范围设置、页边距设置、缩放打印设置、打印队列管理等基本功能，支持彩色扫描、黑白打印/复印，自动双面打印、网络打印、PC端打印状态监控、平板稿台和自动进纸器复印/扫描。性能要求：打印速度≥30页/分钟；※标配纸盒容量≥250页，手动进纸盘容量≥10页；其他要求：※鼓粉分离耗材模式；标配墨粉≥3000页。提供3年保修服务，根据CPU芯片和操作系统升级以及信创目录更新，提供3年内免费适配服务。含墨盒。提供厂家授权</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最终合同履约期限以合同约定为准。</w:t>
      </w:r>
    </w:p>
    <w:p>
      <w:pPr>
        <w:pStyle w:val="null3"/>
        <w:outlineLvl w:val="3"/>
      </w:pPr>
      <w:r>
        <w:rPr>
          <w:sz w:val="24"/>
          <w:b/>
        </w:rPr>
        <w:t>3.4.2交货地点和方式</w:t>
      </w:r>
    </w:p>
    <w:p>
      <w:pPr>
        <w:pStyle w:val="null3"/>
      </w:pPr>
      <w:r>
        <w:rPr/>
        <w:t>采购包1：</w:t>
      </w:r>
    </w:p>
    <w:p>
      <w:pPr>
        <w:pStyle w:val="null3"/>
      </w:pPr>
      <w:r>
        <w:rPr/>
        <w:t>陕西省铜川市中级人民法院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20</w:t>
      </w:r>
      <w:r>
        <w:rPr/>
        <w:t xml:space="preserve"> 日内，支付合同总金额的 </w:t>
      </w:r>
      <w:r>
        <w:rPr/>
        <w:t>30.00</w:t>
      </w:r>
      <w:r>
        <w:rPr/>
        <w:t>%。</w:t>
      </w:r>
    </w:p>
    <w:p>
      <w:pPr>
        <w:pStyle w:val="null3"/>
      </w:pPr>
      <w:r>
        <w:rPr/>
        <w:t>采购包1：</w:t>
      </w:r>
      <w:r>
        <w:rPr/>
        <w:t xml:space="preserve"> 付款条件说明： </w:t>
      </w:r>
      <w:r>
        <w:rPr/>
        <w:t>验收成功后</w:t>
      </w:r>
      <w:r>
        <w:rPr/>
        <w:t xml:space="preserve"> ，达到付款条件起 </w:t>
      </w:r>
      <w:r>
        <w:rPr/>
        <w:t>30</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验收工作由甲乙双方组成验收小组现场进行，依据合同约定逐项进行验收，验收无误后双方填写项目验收报告单。</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详见技术参数与性能指标。</w:t>
      </w:r>
    </w:p>
    <w:p>
      <w:pPr>
        <w:pStyle w:val="null3"/>
        <w:outlineLvl w:val="3"/>
      </w:pPr>
      <w:r>
        <w:rPr>
          <w:sz w:val="24"/>
          <w:b/>
        </w:rPr>
        <w:t>3.4.8违约责任及解决争议的方法</w:t>
      </w:r>
    </w:p>
    <w:p>
      <w:pPr>
        <w:pStyle w:val="null3"/>
      </w:pPr>
      <w:r>
        <w:rPr/>
        <w:t>采购包1：</w:t>
      </w:r>
    </w:p>
    <w:p>
      <w:pPr>
        <w:pStyle w:val="null3"/>
      </w:pPr>
      <w:r>
        <w:rPr/>
        <w:t>违约责任:依据《中华人民共和国民法典》、《中华人民共和国政府采购法》的相关条款和本合同约定，乙方未全面履行合同义务或者发生违约，甲方会同采购代理机构有权终止合同，依法向乙方进行经济索赔，并报请政府采购监督管理机关进行相应的行政处罚。甲方违约的，应当赔偿给乙方造成的经合同争议的解决:1、合同执行中发生争议的，当事人双方应协商解决，协商达不成一致时，可向当地人民法院提请诉讼2、在发生不可抗力情况下的应对措施和解决办法: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3、合同一经签订，不得擅自变更、中止或者终止合同。对确需变更、调整或者中止、终止合同的，应按规定履行相应的手续。</w:t>
      </w:r>
    </w:p>
    <w:p>
      <w:pPr>
        <w:pStyle w:val="null3"/>
        <w:jc w:val="left"/>
        <w:outlineLvl w:val="3"/>
      </w:pPr>
      <w:r>
        <w:rPr>
          <w:sz w:val="24"/>
          <w:b/>
        </w:rPr>
        <w:t>3.5其他要求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w:t>
            </w:r>
          </w:p>
        </w:tc>
        <w:tc>
          <w:tcPr>
            <w:tcW w:type="dxa" w:w="3322"/>
          </w:tcPr>
          <w:p>
            <w:pPr>
              <w:pStyle w:val="null3"/>
            </w:pPr>
            <w:r>
              <w:rPr/>
              <w:t>A、根据《财政部关于进一步加大政府采购支持中小企业力度的通知》（财库〔2022〕19号）的有关规定，小微企业提供本企业制造的货物、承担的工程或者服务，或者提供其他小微企业制造的货物（不包括使用大型、中型企业注册商标的货物）参与政府采购活动时对小型和微型企业产品的价格给予10%的价格扣除，用扣除后的价格参与评标。 B、监狱企业应符合《财政部 司法部关于政府采购支持监狱企业发展有关问题的通知》--财库[2014]68号文件规定，并提供由省级以上监狱管理局、戒毒管理局(含新疆生产建设兵团)出具的属于监狱企业的证明，监狱和戒毒企业视同小型、微型企业。 C、根据财政部、民政部、中国残疾人联合会下发的《关于促进残疾人就业政府采购政策的通知》（财库〔2017〕141号）的规定，残疾人福利性单位提供本单位制造的货物、承担的工程或者服务（以下简称产品），或者提供其他残疾人福利性单位制造的货物（不包括使用非残疾人福利性单位注册商标的货物）参与政府采购活动时，视同小型、微型企业，享受预留份额、评审中价格扣除等促进中小企业发展的政府采购政策。残疾人福利性单位属于小型、微型企业的，不重复享受政策。</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资格审查</w:t>
            </w:r>
          </w:p>
        </w:tc>
        <w:tc>
          <w:tcPr>
            <w:tcW w:type="dxa" w:w="3322"/>
          </w:tcPr>
          <w:p>
            <w:pPr>
              <w:pStyle w:val="null3"/>
            </w:pPr>
            <w:r>
              <w:rPr/>
              <w:t>A、依法注册，并有效存续的营业执照、税务登记证、组织机构代码证，或“三证合一”后的营业执照。 B、提供经会计事务所或审计机构出具的2022年度或2023年度财务报告，成立时间至提交响应文件截止时间不足一年的可提供成立后任意时段的财务报表或其开标前三个月内基本存款账户开户银行出具的资信证明，或信用担保机构出具的投标担保函（以上形式的资料提供任何一种即可）。 C、社会保障资金交纳证明：自2022年1月1日以来已缴存的至少一个月的社会保障资金缴存单据或社保机构开具的社会保险参保缴费(养老、医疗、失业)情况证明，单据或证明上应有社保机构或代收机构的公章。依法不需要交纳社会保障资金的供应商应提供相关文件证明。 D、税收交纳证明：自2022年1月1日以来已交纳的至少一个月的纳税证明或完税证明，纳税证明或完税证明上应有代收机构或税务机关的公章。依法免税的供应商应提供相关文件证明。</w:t>
            </w:r>
          </w:p>
        </w:tc>
        <w:tc>
          <w:tcPr>
            <w:tcW w:type="dxa" w:w="1661"/>
          </w:tcPr>
          <w:p>
            <w:pPr>
              <w:pStyle w:val="null3"/>
            </w:pPr>
            <w:r>
              <w:rPr/>
              <w:t>商务应答表 供应商应提交的相关资格证明材料 响应函</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产品技术参数表 标的清单 报价表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本项目授权谈判小组直接确认成交供应商，确认后代理机构在陕西省政府采购网上发布成交结果公告，同时向成交供应商发出成交通知书。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