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jc w:val="center"/>
        <w:outlineLvl w:val="0"/>
        <w:rPr>
          <w:color w:val="auto"/>
        </w:rPr>
      </w:pPr>
      <w:bookmarkStart w:id="0" w:name="_Toc24646"/>
      <w:bookmarkStart w:id="1" w:name="_Toc14161"/>
      <w:r>
        <w:rPr>
          <w:rFonts w:hint="eastAsia"/>
          <w:color w:val="auto"/>
        </w:rPr>
        <w:t>分项报价表</w:t>
      </w:r>
      <w:bookmarkEnd w:id="0"/>
      <w:bookmarkEnd w:id="1"/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项目名称：</w:t>
      </w:r>
      <w:r>
        <w:rPr>
          <w:rFonts w:hint="eastAsia"/>
          <w:color w:val="auto"/>
          <w:sz w:val="24"/>
          <w:u w:val="single"/>
        </w:rPr>
        <w:t xml:space="preserve">                    </w:t>
      </w:r>
      <w:r>
        <w:rPr>
          <w:rFonts w:hint="eastAsia"/>
          <w:color w:val="auto"/>
          <w:sz w:val="24"/>
        </w:rPr>
        <w:t xml:space="preserve">       </w:t>
      </w:r>
    </w:p>
    <w:p>
      <w:pPr>
        <w:spacing w:line="360" w:lineRule="auto"/>
        <w:rPr>
          <w:rFonts w:hint="eastAsia"/>
          <w:color w:val="auto"/>
        </w:rPr>
      </w:pPr>
      <w:r>
        <w:rPr>
          <w:rFonts w:hint="eastAsia"/>
          <w:color w:val="auto"/>
          <w:sz w:val="24"/>
        </w:rPr>
        <w:t>项目编号：</w:t>
      </w:r>
      <w:r>
        <w:rPr>
          <w:rFonts w:hint="eastAsia"/>
          <w:color w:val="auto"/>
          <w:sz w:val="24"/>
          <w:u w:val="single"/>
        </w:rPr>
        <w:t xml:space="preserve">                    </w:t>
      </w:r>
    </w:p>
    <w:p>
      <w:pPr>
        <w:widowControl/>
        <w:jc w:val="left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rPr>
          <w:rFonts w:hint="default" w:ascii="TimesNewRomanPSMT" w:hAnsi="TimesNewRomanPSMT" w:eastAsia="宋体" w:cs="TimesNewRomanPSMT"/>
          <w:color w:val="auto"/>
          <w:kern w:val="0"/>
          <w:sz w:val="24"/>
          <w:lang w:val="en-US" w:eastAsia="zh-CN" w:bidi="ar"/>
        </w:rPr>
      </w:pPr>
      <w:r>
        <w:rPr>
          <w:rFonts w:hint="eastAsia" w:ascii="TimesNewRomanPSMT" w:hAnsi="TimesNewRomanPSMT" w:eastAsia="宋体" w:cs="TimesNewRomanPSMT"/>
          <w:color w:val="auto"/>
          <w:kern w:val="0"/>
          <w:sz w:val="24"/>
          <w:lang w:val="en-US" w:eastAsia="zh-CN" w:bidi="ar"/>
        </w:rPr>
        <w:t>格式自拟</w:t>
      </w:r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ind w:left="0" w:leftChars="0" w:firstLine="0" w:firstLineChars="0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  <w:bookmarkStart w:id="2" w:name="_GoBack"/>
      <w:bookmarkEnd w:id="2"/>
    </w:p>
    <w:p>
      <w:pPr>
        <w:pStyle w:val="2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pStyle w:val="2"/>
        <w:ind w:left="0" w:leftChars="0" w:firstLine="0" w:firstLineChars="0"/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</w:pPr>
    </w:p>
    <w:p>
      <w:pPr>
        <w:widowControl/>
        <w:jc w:val="left"/>
        <w:rPr>
          <w:rFonts w:hint="eastAsia"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TimesNewRomanPSMT" w:hAnsi="TimesNewRomanPSMT" w:eastAsia="TimesNewRomanPSMT" w:cs="TimesNewRomanPSMT"/>
          <w:color w:val="auto"/>
          <w:kern w:val="0"/>
          <w:sz w:val="24"/>
          <w:lang w:bidi="ar"/>
        </w:rPr>
        <w:t>注：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1.本表中必须列明方案中所涉及的所有物品及服务的分项报价。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2</w:t>
      </w:r>
      <w:r>
        <w:rPr>
          <w:rFonts w:hint="eastAsia" w:ascii="宋体" w:hAnsi="宋体" w:cs="宋体"/>
          <w:color w:val="auto"/>
          <w:sz w:val="24"/>
        </w:rPr>
        <w:t>.如果按单价计算的结果与总价不一致，以单价为准修正总价。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3.如果不提供详细分项报价将视为没有实质性响应招标文件。</w:t>
      </w:r>
    </w:p>
    <w:p>
      <w:pPr>
        <w:spacing w:line="400" w:lineRule="exact"/>
        <w:ind w:firstLine="480" w:firstLineChars="200"/>
        <w:rPr>
          <w:color w:val="auto"/>
        </w:rPr>
      </w:pPr>
      <w:r>
        <w:rPr>
          <w:rFonts w:hint="eastAsia" w:ascii="宋体" w:hAnsi="宋体" w:cs="宋体"/>
          <w:color w:val="auto"/>
          <w:sz w:val="24"/>
        </w:rPr>
        <w:t>4.报价精确到元。</w:t>
      </w:r>
    </w:p>
    <w:p>
      <w:pPr>
        <w:pStyle w:val="2"/>
        <w:rPr>
          <w:color w:val="auto"/>
        </w:rPr>
      </w:pPr>
    </w:p>
    <w:p>
      <w:pPr>
        <w:pStyle w:val="2"/>
        <w:rPr>
          <w:color w:val="auto"/>
        </w:rPr>
      </w:pPr>
    </w:p>
    <w:p>
      <w:pPr>
        <w:spacing w:line="600" w:lineRule="exact"/>
        <w:jc w:val="center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供应商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  <w:sz w:val="24"/>
        </w:rPr>
        <w:t>（盖单位章）</w:t>
      </w:r>
    </w:p>
    <w:p>
      <w:pPr>
        <w:spacing w:line="600" w:lineRule="exact"/>
        <w:jc w:val="righ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法定代表人或其委托代理人：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</w:rPr>
        <w:t>（签字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</w:rPr>
        <w:t>）</w:t>
      </w:r>
    </w:p>
    <w:p>
      <w:pPr>
        <w:jc w:val="both"/>
        <w:rPr>
          <w:rFonts w:hint="eastAsia" w:ascii="宋体" w:hAnsi="宋体" w:cs="宋体"/>
          <w:color w:val="auto"/>
          <w:sz w:val="24"/>
        </w:rPr>
      </w:pPr>
    </w:p>
    <w:p>
      <w:pPr>
        <w:ind w:firstLine="2400" w:firstLineChars="1000"/>
        <w:jc w:val="both"/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3ZTRkMTkzZjJlNDkzZjhkMTM3MDg0NjNiOTc4YmQifQ=="/>
  </w:docVars>
  <w:rsids>
    <w:rsidRoot w:val="47600F91"/>
    <w:rsid w:val="47600F91"/>
    <w:rsid w:val="74F15C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Calibri" w:hAnsi="Calibri" w:cs="Times New Roman"/>
      <w:color w:val="993300"/>
      <w:kern w:val="0"/>
      <w:sz w:val="18"/>
      <w:szCs w:val="18"/>
    </w:rPr>
  </w:style>
  <w:style w:type="paragraph" w:styleId="3">
    <w:name w:val="Body Text"/>
    <w:basedOn w:val="1"/>
    <w:next w:val="4"/>
    <w:qFormat/>
    <w:uiPriority w:val="0"/>
    <w:rPr>
      <w:sz w:val="28"/>
    </w:rPr>
  </w:style>
  <w:style w:type="paragraph" w:styleId="4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2023-11-04T09:49:00Z</dcterms:created>
  <dc:creator>l</dc:creator>
  <cp:lastModifiedBy>l</cp:lastModifiedBy>
  <dcterms:modified xsi:type="dcterms:W3CDTF">2023-11-04T09:55:04Z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4653281C79CB436382C4044290E52D57_11</vt:lpwstr>
  </property>
</Properties>
</file>