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2025铜川特色商品展会暨年货节活动项目</w:t>
      </w:r>
    </w:p>
    <w:p>
      <w:pPr>
        <w:pStyle w:val="null3"/>
        <w:jc w:val="center"/>
        <w:outlineLvl w:val="2"/>
      </w:pPr>
      <w:r>
        <w:rPr>
          <w:sz w:val="28"/>
          <w:b/>
        </w:rPr>
        <w:t>采购项目编号：</w:t>
      </w:r>
      <w:r>
        <w:rPr>
          <w:sz w:val="28"/>
          <w:b/>
        </w:rPr>
        <w:t>SXGLZFCG2025-002号</w:t>
      </w:r>
      <w:r>
        <w:br/>
      </w:r>
      <w:r>
        <w:br/>
      </w:r>
      <w:r>
        <w:br/>
      </w:r>
    </w:p>
    <w:p>
      <w:pPr>
        <w:pStyle w:val="null3"/>
        <w:jc w:val="center"/>
        <w:outlineLvl w:val="2"/>
      </w:pPr>
      <w:r>
        <w:rPr>
          <w:sz w:val="28"/>
          <w:b/>
        </w:rPr>
        <w:t>铜川市商务局</w:t>
      </w:r>
    </w:p>
    <w:p>
      <w:pPr>
        <w:pStyle w:val="null3"/>
        <w:jc w:val="center"/>
        <w:outlineLvl w:val="2"/>
      </w:pPr>
      <w:r>
        <w:rPr>
          <w:sz w:val="28"/>
          <w:b/>
        </w:rPr>
        <w:t>陕西公立工程项目管理咨询有限公司</w:t>
      </w:r>
      <w:r>
        <w:rPr>
          <w:sz w:val="28"/>
          <w:b/>
        </w:rPr>
        <w:t>共同编制</w:t>
      </w:r>
    </w:p>
    <w:p>
      <w:pPr>
        <w:pStyle w:val="null3"/>
        <w:jc w:val="center"/>
        <w:outlineLvl w:val="2"/>
      </w:pPr>
      <w:r>
        <w:rPr>
          <w:sz w:val="28"/>
          <w:b/>
        </w:rPr>
        <w:t>2025年01月03日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陕西公立工程项目管理咨询有限公司</w:t>
      </w:r>
      <w:r>
        <w:rPr/>
        <w:t>（以下简称“代理机构”）受</w:t>
      </w:r>
      <w:r>
        <w:rPr/>
        <w:t>铜川市商务局</w:t>
      </w:r>
      <w:r>
        <w:rPr/>
        <w:t>委托，拟对</w:t>
      </w:r>
      <w:r>
        <w:rPr/>
        <w:t>2025铜川特色商品展会暨年货节活动项目</w:t>
      </w:r>
      <w:r>
        <w:rPr/>
        <w:t>采用竞争性磋商采购方式进行采购，兹邀请供应商参加本项目的竞争性磋商。</w:t>
      </w:r>
    </w:p>
    <w:p>
      <w:pPr>
        <w:pStyle w:val="null3"/>
        <w:outlineLvl w:val="2"/>
      </w:pPr>
      <w:r>
        <w:rPr>
          <w:sz w:val="28"/>
          <w:b/>
        </w:rPr>
        <w:t>一、项目编号：</w:t>
      </w:r>
      <w:r>
        <w:rPr>
          <w:sz w:val="28"/>
          <w:b/>
        </w:rPr>
        <w:t>SXGLZFCG2025-002号</w:t>
      </w:r>
    </w:p>
    <w:p>
      <w:pPr>
        <w:pStyle w:val="null3"/>
        <w:outlineLvl w:val="2"/>
      </w:pPr>
      <w:r>
        <w:rPr>
          <w:sz w:val="28"/>
          <w:b/>
        </w:rPr>
        <w:t>二、项目名称：</w:t>
      </w:r>
      <w:r>
        <w:rPr>
          <w:sz w:val="28"/>
          <w:b/>
        </w:rPr>
        <w:t>2025铜川特色商品展会暨年货节活动项目</w:t>
      </w:r>
    </w:p>
    <w:p>
      <w:pPr>
        <w:pStyle w:val="null3"/>
        <w:outlineLvl w:val="2"/>
      </w:pPr>
      <w:r>
        <w:rPr>
          <w:sz w:val="28"/>
          <w:b/>
        </w:rPr>
        <w:t>三、磋商项目简介</w:t>
      </w:r>
    </w:p>
    <w:p>
      <w:pPr>
        <w:pStyle w:val="null3"/>
        <w:ind w:firstLine="480"/>
      </w:pPr>
      <w:r>
        <w:rPr/>
        <w:t>展位搭建、场地租赁、水电保障、保洁保安服务、宣传及氛围营造、后续拆除等工作。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采购包1（2025铜川特色商品展会暨年货节活动项目）：属于专门面向中小企业采购。</w:t>
      </w:r>
    </w:p>
    <w:p>
      <w:pPr>
        <w:pStyle w:val="null3"/>
        <w:ind w:firstLine="480"/>
      </w:pPr>
      <w:r>
        <w:rPr/>
        <w:t>（三）本项目的特定资格要求：</w:t>
      </w:r>
    </w:p>
    <w:p>
      <w:pPr>
        <w:pStyle w:val="null3"/>
      </w:pPr>
      <w:r>
        <w:rPr/>
        <w:t>采购包1：</w:t>
      </w:r>
    </w:p>
    <w:p>
      <w:pPr>
        <w:pStyle w:val="null3"/>
      </w:pPr>
      <w:r>
        <w:rPr/>
        <w:t>1、合格供应商：具有独立承担民事责任能力的法人、其他组织或自然人，并出具合法有效的营业执照或事业单位法人证书等国家规定的相关证明，自然人参与的提供其身份证明</w:t>
      </w:r>
    </w:p>
    <w:p>
      <w:pPr>
        <w:pStyle w:val="null3"/>
      </w:pPr>
      <w:r>
        <w:rPr/>
        <w:t>2、法人身份证明或授权委托：法定代表人参加磋商须出具法定代表人身份证明（并附有效证件），被授权代理人参加磋商须出具法定代表人授权书及被授权人有效证件</w:t>
      </w:r>
    </w:p>
    <w:p>
      <w:pPr>
        <w:pStyle w:val="null3"/>
      </w:pPr>
      <w:r>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t>4、财务状况报告：供应商提供2021年至今任意一年的财务审计报告(成立时间至提交响应文件截止时间不足年的可提供成立后任意时段的资产负债表)，或其基本存款账户开户银行出具的资信或资金证明(复印件加盖供应商公章)</w:t>
      </w:r>
    </w:p>
    <w:p>
      <w:pPr>
        <w:pStyle w:val="null3"/>
      </w:pPr>
      <w:r>
        <w:rPr/>
        <w:t>5、履行能力：具有履行合同所必需的设备和专业技术能力，提供证明材料或书面承诺并加盖公章</w:t>
      </w:r>
    </w:p>
    <w:p>
      <w:pPr>
        <w:pStyle w:val="null3"/>
      </w:pPr>
      <w:r>
        <w:rPr/>
        <w:t>6、无重大违法记录声明：参加政府采购活动近三年内，在经营活动中没有重大违法记录，提供书面声明</w:t>
      </w:r>
    </w:p>
    <w:p>
      <w:pPr>
        <w:pStyle w:val="null3"/>
      </w:pPr>
      <w:r>
        <w:rPr/>
        <w:t>7、税收缴纳证明：提供响应文件递交截止时间前6个月内任意1个月已缴纳完税凭证（任意税种）或税务机关开具的完税证明（任意税种）</w:t>
      </w:r>
    </w:p>
    <w:p>
      <w:pPr>
        <w:pStyle w:val="null3"/>
      </w:pPr>
      <w:r>
        <w:rPr/>
        <w:t>8、社会保障资金缴纳证明：提供响应文件递交截止时间前6个月内任意1个月已缴存的任意时段的社会保障资金缴存单据或社保机构开具的社会保险参保缴费情况证明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铜川市商务局</w:t>
      </w:r>
    </w:p>
    <w:p>
      <w:pPr>
        <w:pStyle w:val="null3"/>
      </w:pPr>
      <w:r>
        <w:rPr/>
        <w:t xml:space="preserve"> 地址： </w:t>
      </w:r>
      <w:r>
        <w:rPr/>
        <w:t>铜川市耀州区正阳路9号</w:t>
      </w:r>
    </w:p>
    <w:p>
      <w:pPr>
        <w:pStyle w:val="null3"/>
      </w:pPr>
      <w:r>
        <w:rPr/>
        <w:t xml:space="preserve"> 邮编： </w:t>
      </w:r>
      <w:r>
        <w:rPr/>
        <w:t>727031</w:t>
      </w:r>
    </w:p>
    <w:p>
      <w:pPr>
        <w:pStyle w:val="null3"/>
      </w:pPr>
      <w:r>
        <w:rPr/>
        <w:t xml:space="preserve"> 联系人： </w:t>
      </w:r>
      <w:r>
        <w:rPr/>
        <w:t>铜川市商务局经办</w:t>
      </w:r>
    </w:p>
    <w:p>
      <w:pPr>
        <w:pStyle w:val="null3"/>
      </w:pPr>
      <w:r>
        <w:rPr/>
        <w:t xml:space="preserve"> 联系电话： </w:t>
      </w:r>
      <w:r>
        <w:rPr/>
        <w:t>13992967816</w:t>
      </w:r>
    </w:p>
    <w:p>
      <w:pPr>
        <w:pStyle w:val="null3"/>
        <w:outlineLvl w:val="3"/>
      </w:pPr>
      <w:r>
        <w:rPr>
          <w:sz w:val="24"/>
          <w:b/>
        </w:rPr>
        <w:t>代理机构：</w:t>
      </w:r>
      <w:r>
        <w:rPr>
          <w:sz w:val="24"/>
          <w:b/>
        </w:rPr>
        <w:t>陕西公立工程项目管理咨询有限公司</w:t>
      </w:r>
    </w:p>
    <w:p>
      <w:pPr>
        <w:pStyle w:val="null3"/>
      </w:pPr>
      <w:r>
        <w:rPr/>
        <w:t xml:space="preserve"> 地址： </w:t>
      </w:r>
      <w:r>
        <w:rPr/>
        <w:t>陕西省铜川市王益区七一路25号工行王益支行3楼</w:t>
      </w:r>
    </w:p>
    <w:p>
      <w:pPr>
        <w:pStyle w:val="null3"/>
      </w:pPr>
      <w:r>
        <w:rPr/>
        <w:t xml:space="preserve"> 邮编： </w:t>
      </w:r>
      <w:r>
        <w:rPr/>
        <w:t>727000</w:t>
      </w:r>
    </w:p>
    <w:p>
      <w:pPr>
        <w:pStyle w:val="null3"/>
      </w:pPr>
      <w:r>
        <w:rPr/>
        <w:t xml:space="preserve"> 联系人： </w:t>
      </w:r>
      <w:r>
        <w:rPr/>
        <w:t>王工</w:t>
      </w:r>
    </w:p>
    <w:p>
      <w:pPr>
        <w:pStyle w:val="null3"/>
      </w:pPr>
      <w:r>
        <w:rPr/>
        <w:t xml:space="preserve"> 联系电话： </w:t>
      </w:r>
      <w:r>
        <w:rPr/>
        <w:t>0919-2182986</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采购包1：912,535.00元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铜川市商务局</w:t>
      </w:r>
      <w:r>
        <w:rPr/>
        <w:t>和</w:t>
      </w:r>
      <w:r>
        <w:rPr/>
        <w:t>陕西公立工程项目管理咨询有限公司</w:t>
      </w:r>
      <w:r>
        <w:rPr/>
        <w:t>享有。对磋商文件中供应商参加本次政府采购活动应当具备的条件，磋商项目技术、服务、商务及其他要求，评审细则及标准由</w:t>
      </w:r>
      <w:r>
        <w:rPr/>
        <w:t>铜川市商务局</w:t>
      </w:r>
      <w:r>
        <w:rPr/>
        <w:t>负责解释。除上述磋商文件内容，其他内容由</w:t>
      </w:r>
      <w:r>
        <w:rPr/>
        <w:t>陕西公立工程项目管理咨询有限公司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铜川市商务局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陕西公立工程项目管理咨询有限公司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以双方最终签订和合同内具体条款约定为准。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陕西公立工程项目管理咨询有限公司</w:t>
      </w:r>
      <w:r>
        <w:rPr/>
        <w:t xml:space="preserve"> 负责答复；供应商对除采购需求外的采购文件的询问、质疑由</w:t>
      </w:r>
      <w:r>
        <w:rPr/>
        <w:t>陕西公立工程项目管理咨询有限公司</w:t>
      </w:r>
      <w:r>
        <w:rPr/>
        <w:t xml:space="preserve"> 负责答复；供应商对采购过程、采购结果的询问、质疑由 </w:t>
      </w:r>
      <w:r>
        <w:rPr/>
        <w:t>陕西公立工程项目管理咨询有限公司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联系电话：0919-2182986</w:t>
      </w:r>
    </w:p>
    <w:p>
      <w:pPr>
        <w:pStyle w:val="null3"/>
      </w:pPr>
      <w:r>
        <w:rPr/>
        <w:t>地址：陕西省铜川市王益区七一路25号工行王益支行3楼</w:t>
      </w:r>
    </w:p>
    <w:p>
      <w:pPr>
        <w:pStyle w:val="null3"/>
      </w:pPr>
      <w:r>
        <w:rPr/>
        <w:t>邮编：727000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展位搭建、场地租赁、水电保障、保洁保安服务、宣传及氛围营造、后续拆除等工作。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912,535.00</w:t>
      </w:r>
    </w:p>
    <w:p>
      <w:pPr>
        <w:pStyle w:val="null3"/>
      </w:pPr>
      <w:r>
        <w:rPr/>
        <w:t>采购包最高限价（元）: 912,535.00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2025铜川特色商品展会暨年货节活动项目</w:t>
            </w:r>
          </w:p>
        </w:tc>
        <w:tc>
          <w:tcPr>
            <w:tcW w:type="dxa" w:w="831"/>
          </w:tcPr>
          <w:p>
            <w:pPr>
              <w:pStyle w:val="null3"/>
              <w:jc w:val="right"/>
            </w:pPr>
            <w:r>
              <w:rPr/>
              <w:t>1.00</w:t>
            </w:r>
          </w:p>
        </w:tc>
        <w:tc>
          <w:tcPr>
            <w:tcW w:type="dxa" w:w="831"/>
          </w:tcPr>
          <w:p>
            <w:pPr>
              <w:pStyle w:val="null3"/>
              <w:jc w:val="right"/>
            </w:pPr>
            <w:r>
              <w:rPr/>
              <w:t>912,535.00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标的名称：2025铜川特色商品展会暨年货节活动项目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_gb2312" w:hAnsi="仿宋_gb2312" w:cs="仿宋_gb2312" w:eastAsia="仿宋_gb2312"/>
                <w:sz w:val="21"/>
              </w:rPr>
              <w:t>为深入贯彻落实党的精神，坚定实施扩大内需战略，紧抓岁末年初消费旺季有利时机，促进消费持续恢复和升级，适应经济新常态要求，紧贴百姓个性化、多样化消费趋势，繁荣和活跃春节日消费市场，根据省市消费促进年活动安排，结合我市实际，特举办该活动。</w:t>
            </w:r>
          </w:p>
          <w:p>
            <w:pPr>
              <w:pStyle w:val="null3"/>
            </w:pPr>
            <w:r>
              <w:rPr>
                <w:rFonts w:ascii="仿宋_gb2312" w:hAnsi="仿宋_gb2312" w:cs="仿宋_gb2312" w:eastAsia="仿宋_gb2312"/>
                <w:sz w:val="21"/>
              </w:rPr>
              <w:t>一、活动主题</w:t>
            </w:r>
          </w:p>
          <w:p>
            <w:pPr>
              <w:pStyle w:val="null3"/>
            </w:pPr>
            <w:r>
              <w:rPr>
                <w:rFonts w:ascii="仿宋_gb2312" w:hAnsi="仿宋_gb2312" w:cs="仿宋_gb2312" w:eastAsia="仿宋_gb2312"/>
                <w:sz w:val="21"/>
              </w:rPr>
              <w:t>“新年畅享 精选优惠”</w:t>
            </w:r>
          </w:p>
          <w:p>
            <w:pPr>
              <w:pStyle w:val="null3"/>
            </w:pPr>
            <w:r>
              <w:rPr>
                <w:rFonts w:ascii="仿宋_gb2312" w:hAnsi="仿宋_gb2312" w:cs="仿宋_gb2312" w:eastAsia="仿宋_gb2312"/>
                <w:sz w:val="21"/>
              </w:rPr>
              <w:t>二、活动时间</w:t>
            </w:r>
          </w:p>
          <w:p>
            <w:pPr>
              <w:pStyle w:val="null3"/>
            </w:pPr>
            <w:r>
              <w:rPr>
                <w:rFonts w:ascii="仿宋_gb2312" w:hAnsi="仿宋_gb2312" w:cs="仿宋_gb2312" w:eastAsia="仿宋_gb2312"/>
                <w:sz w:val="21"/>
              </w:rPr>
              <w:t>2025年1月19日-28日</w:t>
            </w:r>
          </w:p>
          <w:p>
            <w:pPr>
              <w:pStyle w:val="null3"/>
            </w:pPr>
            <w:r>
              <w:rPr>
                <w:rFonts w:ascii="仿宋_gb2312" w:hAnsi="仿宋_gb2312" w:cs="仿宋_gb2312" w:eastAsia="仿宋_gb2312"/>
                <w:sz w:val="21"/>
              </w:rPr>
              <w:t>在新区全民健身馆举办以“新年畅享 精选优惠”为主题的新春年货购物节，集方便市民采购生鲜百货、农特产品、服装家纺、家电家居等年货商品，品特色美食，观民俗演出，营造喜庆祥和春节节日氛围。</w:t>
            </w:r>
          </w:p>
          <w:tbl>
            <w:tblPr>
              <w:tblInd w:type="dxa" w:w="90"/>
              <w:tblBorders>
                <w:top w:val="none" w:color="000000" w:sz="4"/>
                <w:left w:val="none" w:color="000000" w:sz="4"/>
                <w:bottom w:val="none" w:color="000000" w:sz="4"/>
                <w:right w:val="none" w:color="000000" w:sz="4"/>
                <w:insideH w:val="none"/>
                <w:insideV w:val="none"/>
              </w:tblBorders>
            </w:tblPr>
            <w:tblGrid>
              <w:gridCol w:w="314"/>
              <w:gridCol w:w="862"/>
              <w:gridCol w:w="212"/>
              <w:gridCol w:w="216"/>
              <w:gridCol w:w="146"/>
              <w:gridCol w:w="805"/>
            </w:tblGrid>
            <w:tr>
              <w:tc>
                <w:tcPr>
                  <w:tcW w:type="dxa" w:w="31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宋体" w:hAnsi="宋体" w:cs="宋体" w:eastAsia="宋体"/>
                      <w:sz w:val="24"/>
                      <w:b/>
                      <w:color w:val="000000"/>
                    </w:rPr>
                    <w:t>序号</w:t>
                  </w:r>
                </w:p>
              </w:tc>
              <w:tc>
                <w:tcPr>
                  <w:tcW w:type="dxa" w:w="86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宋体" w:hAnsi="宋体" w:cs="宋体" w:eastAsia="宋体"/>
                      <w:sz w:val="24"/>
                      <w:b/>
                      <w:color w:val="000000"/>
                    </w:rPr>
                    <w:t>收费类别</w:t>
                  </w:r>
                </w:p>
              </w:tc>
              <w:tc>
                <w:tcPr>
                  <w:tcW w:type="dxa" w:w="21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宋体" w:hAnsi="宋体" w:cs="宋体" w:eastAsia="宋体"/>
                      <w:sz w:val="24"/>
                      <w:b/>
                      <w:color w:val="000000"/>
                    </w:rPr>
                    <w:t>数量</w:t>
                  </w:r>
                </w:p>
              </w:tc>
              <w:tc>
                <w:tcPr>
                  <w:tcW w:type="dxa" w:w="21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宋体" w:hAnsi="宋体" w:cs="宋体" w:eastAsia="宋体"/>
                      <w:sz w:val="24"/>
                      <w:b/>
                      <w:color w:val="000000"/>
                    </w:rPr>
                    <w:t>单位</w:t>
                  </w:r>
                </w:p>
              </w:tc>
              <w:tc>
                <w:tcPr>
                  <w:tcW w:type="dxa" w:w="14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宋体" w:hAnsi="宋体" w:cs="宋体" w:eastAsia="宋体"/>
                      <w:sz w:val="24"/>
                      <w:b/>
                      <w:color w:val="000000"/>
                    </w:rPr>
                    <w:t>天数</w:t>
                  </w:r>
                </w:p>
              </w:tc>
              <w:tc>
                <w:tcPr>
                  <w:tcW w:type="dxa" w:w="805"/>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宋体" w:hAnsi="宋体" w:cs="宋体" w:eastAsia="宋体"/>
                      <w:sz w:val="24"/>
                      <w:b/>
                      <w:color w:val="000000"/>
                    </w:rPr>
                    <w:t>备注</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迎宾主门头桁架结构材料（加配重）</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采用桁架结构造型，搭配黑白布料以及PVC雕刻装饰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迎宾主门头设计、制作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彩色喷绘布料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迎宾主门头造型雕刻、制作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 xml:space="preserve">PVC </w:t>
                  </w:r>
                  <w:r>
                    <w:rPr>
                      <w:rFonts w:ascii="宋体" w:hAnsi="宋体" w:cs="宋体" w:eastAsia="宋体"/>
                      <w:sz w:val="20"/>
                      <w:color w:val="000000"/>
                    </w:rPr>
                    <w:t>雕刻装饰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展馆门头造型-内部主体结构（20米*5米）门头</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桁架造型、黑白布、PVC造型雕刻</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展馆门头造型左右墩子门洞（6米*3.4米）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桁架造型、黑白布、PVC造型雕刻</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门头立体造型雕刻、PVC字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桁架造型、黑白布、PVC造型雕刻</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7</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大会主题背景与春节装饰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使用4X8尺寸的桁架，配备双面黑白布料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8</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大会服务台布置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通过型材搭建而成</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9</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年货节主题打卡墙</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使用4X10尺寸的桁架，配备双面黑白布料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室外非遗活动区搭建</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结合桁架，包括舞台搭建、音响设备、演讲台以及桌椅</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展会导视系统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采用木制材料造型</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空中装饰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60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水柱旗帜展示</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80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按两个展期计算</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14</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宣传广告牌3.1*7.1米*2黑白布穿绳打孔</w:t>
                  </w:r>
                  <w:r>
                    <w:br/>
                  </w:r>
                  <w:r>
                    <w:rPr>
                      <w:rFonts w:ascii="宋体" w:hAnsi="宋体" w:cs="宋体" w:eastAsia="宋体"/>
                      <w:sz w:val="20"/>
                      <w:color w:val="000000"/>
                    </w:rPr>
                    <w:t xml:space="preserve"> 3.1*5.1米*2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75.64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侧厚1米四周全包，悦豪酒店十字、住房公积金十字</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宣传广告牌3.1*8.9米 3.1*6.1米黑白布穿绳打孔</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46.5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3*6</w:t>
                  </w:r>
                  <w:r>
                    <w:rPr>
                      <w:rFonts w:ascii="宋体" w:hAnsi="宋体" w:cs="宋体" w:eastAsia="宋体"/>
                      <w:sz w:val="20"/>
                      <w:color w:val="000000"/>
                    </w:rPr>
                    <w:t>米桁架，侧厚1.4米，四周全包，檀府北十字</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16</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宣传广告牌4.1*10.9米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44.69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4*8</w:t>
                  </w:r>
                  <w:r>
                    <w:rPr>
                      <w:rFonts w:ascii="宋体" w:hAnsi="宋体" w:cs="宋体" w:eastAsia="宋体"/>
                      <w:sz w:val="20"/>
                      <w:color w:val="000000"/>
                    </w:rPr>
                    <w:t>米桁架，侧厚1.4米，四周全包，老高速转盘</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17</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标准环保展位搭建展费用3*4主体桁架搭建</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桁架黑白布、桌子、椅子</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18</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标准环保展位搭建展费用3*４画面制作安装</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黑白布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19</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标准环保展位搭建（3米 x4米）展位灯具、插线板</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提供灯具、电线以及电线租赁服务</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室外特装环保展位搭建（10米 x 8米）主体桁架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包含桁架、黑白布料以及桌椅</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室外特装环保展位搭建（10米 x 8米）画面制作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室外特装环保展位搭建（10米 x 8米）展位电缆、插板</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美食区展位（展馆外）（23米x3米x4米）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桁架黑白布、桌子、椅子</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24</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美食区门头（展馆外）充气拱门18米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新增美食区主背景墙（12米x4米x2.4米）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48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桁架黑白布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26</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新增美食区就餐区搭建18.8米x6.4米x4米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桁架黑白布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27</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开幕式LED大屏１０X５米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28</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开幕式及舞台区地毯12*6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t xml:space="preserve">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29</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开幕式及舞台区现场龙门架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组</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t xml:space="preserve">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开幕式及舞台区电脑摇头光束灯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t xml:space="preserve">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开幕式及舞台区LED帕灯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40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开幕式及舞台区LED面光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t xml:space="preserve">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开幕式及舞台区音响线阵一套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套</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t xml:space="preserve">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34</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大屏、灯光、音响师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含差旅</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室外游戏互动区设置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包含6米背景墙以及地毯铺设</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36</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展会及年货会整体氛围营造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提供灯笼和悬挂装饰物</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37</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场馆内高空画面高清环保喷绘画面4.2*105米*2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882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38</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场馆内高空画面喷绘画面2.2*68米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149.6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39</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场馆内高空画面喷绘画面4.2*68米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285.6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东门口高空画面车贴画面2*28米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主会场会标制作安装</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包含黑白布料、高空作业以及辅助材料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门头主会标悬挂使用吊车</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台班</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门头主会标设备运输</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44</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高空作业人工</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33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辅料</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地毯、木工板</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46</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网红直播区室内搭建</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包含桁架、黑白布料以及桌椅</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47</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开幕式摄影摄像与照片直播服务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提供大型会议的专业服务团队，包括拍照4人、视频4人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48</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拉绒地毯铺设</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进行铺设重点通道和舞台区域约200平方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49</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室外广场地毯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室外展区、活动区（时间较长存在更换）</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证件制作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3000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服务对象包括嘉宾、贵宾以及展商</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大会宣传册子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500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份</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提供会刊</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手提帆布袋</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份</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提供加急服务</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手提纸袋</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200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份</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提供加急服务</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54</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桌签设计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200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采用250克铜版纸材质</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启动活动道具准备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配备全息电子屏</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56</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场馆地面保护措施</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提供展位搭建垫板和护角</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57</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媒体宣传（展前、展中及展后）</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服务范围包括媒体和抖音平台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58</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策划与设计服务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提供策划、设计以及协助展会落地执行服务</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59</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主场运营管理服务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天</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提供大型会议的专业服务团队，包括管理现场和划线保障</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安保服务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保洁服务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展馆内租赁费用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天</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馆外电费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天</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15</w:t>
                  </w:r>
                </w:p>
              </w:tc>
              <w:tc>
                <w:tcPr>
                  <w:tcW w:type="dxa" w:w="8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FF0000"/>
                    </w:rPr>
                    <w:t>最终按照实际发生据实结算</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64</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电费支出</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天</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15</w:t>
                  </w:r>
                </w:p>
              </w:tc>
              <w:tc>
                <w:tcPr>
                  <w:tcW w:type="dxa" w:w="805"/>
                  <w:vMerge/>
                  <w:tcBorders>
                    <w:top w:val="none" w:color="000000" w:sz="4"/>
                    <w:left w:val="none" w:color="000000" w:sz="4"/>
                    <w:bottom w:val="single" w:color="000000" w:sz="4"/>
                    <w:right w:val="single" w:color="000000" w:sz="4"/>
                  </w:tcBorders>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展馆用水</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天</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15</w:t>
                  </w:r>
                </w:p>
              </w:tc>
              <w:tc>
                <w:tcPr>
                  <w:tcW w:type="dxa" w:w="805"/>
                  <w:vMerge/>
                  <w:tcBorders>
                    <w:top w:val="none" w:color="000000" w:sz="4"/>
                    <w:left w:val="none" w:color="000000" w:sz="4"/>
                    <w:bottom w:val="single" w:color="000000" w:sz="4"/>
                    <w:right w:val="single" w:color="000000" w:sz="4"/>
                  </w:tcBorders>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66</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礼仪服务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仅在开幕式当天提供服务</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67</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主持人服务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提供专业商业主持人</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68</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灯具与电缆设备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10</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提供灯具、电线以及电线租赁服务</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69</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布展与撤展运输服务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quot;sans-serif&quot;" w:hAnsi="calibri, &quot;sans-serif&quot;" w:cs="calibri, &quot;sans-serif&quot;" w:eastAsia="calibri, &quot;sans-serif&quot;"/>
                      <w:sz w:val="21"/>
                      <w:b/>
                    </w:rPr>
                    <w:t>　</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b/>
                      <w:color w:val="000000"/>
                    </w:rPr>
                    <w:t>税费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b/>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b/>
                    </w:rPr>
                    <w:t>　</w:t>
                  </w:r>
                  <w:r>
                    <w:rPr>
                      <w:rFonts w:ascii="宋体" w:hAnsi="宋体" w:cs="宋体" w:eastAsia="宋体"/>
                      <w:sz w:val="20"/>
                      <w:b/>
                      <w:color w:val="000000"/>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提供普通发票</w:t>
                  </w:r>
                </w:p>
              </w:tc>
            </w:tr>
          </w:tbl>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15日历天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验收标准：参照《财政部关于进一步加强政府采购需求和履约验收管理的指导意见》(财库(2016) 205号)。自行组织验收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3</w:t>
      </w:r>
      <w:r>
        <w:rPr/>
        <w:t xml:space="preserve"> 日内，支付合同总金额的 </w:t>
      </w:r>
      <w:r>
        <w:rPr/>
        <w:t>40.00</w:t>
      </w:r>
      <w:r>
        <w:rPr/>
        <w:t>%。</w:t>
      </w:r>
    </w:p>
    <w:p>
      <w:pPr>
        <w:pStyle w:val="null3"/>
      </w:pPr>
      <w:r>
        <w:rPr/>
        <w:t>采购包1：</w:t>
      </w:r>
      <w:r>
        <w:rPr/>
        <w:t xml:space="preserve"> 付款条件说明： </w:t>
      </w:r>
      <w:r>
        <w:rPr/>
        <w:t>布展会议结束后，</w:t>
      </w:r>
      <w:r>
        <w:rPr/>
        <w:t xml:space="preserve"> ，达到付款条件起 </w:t>
      </w:r>
      <w:r>
        <w:rPr/>
        <w:t>3</w:t>
      </w:r>
      <w:r>
        <w:rPr/>
        <w:t xml:space="preserve"> 日内，支付合同总金额的 </w:t>
      </w:r>
      <w:r>
        <w:rPr/>
        <w:t>30.00</w:t>
      </w:r>
      <w:r>
        <w:rPr/>
        <w:t>%。</w:t>
      </w:r>
    </w:p>
    <w:p>
      <w:pPr>
        <w:pStyle w:val="null3"/>
      </w:pPr>
      <w:r>
        <w:rPr/>
        <w:t>采购包1：</w:t>
      </w:r>
      <w:r>
        <w:rPr/>
        <w:t xml:space="preserve"> 付款条件说明： </w:t>
      </w:r>
      <w:r>
        <w:rPr/>
        <w:t>验收合格结算评审后，</w:t>
      </w:r>
      <w:r>
        <w:rPr/>
        <w:t xml:space="preserve"> ，达到付款条件起 </w:t>
      </w:r>
      <w:r>
        <w:rPr/>
        <w:t>3</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以双方最终签订和合同内具体条款约定为准。</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合格供应商</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法人身份证明或授权委托</w:t>
            </w:r>
          </w:p>
        </w:tc>
        <w:tc>
          <w:tcPr>
            <w:tcW w:type="dxa" w:w="3322"/>
          </w:tcPr>
          <w:p>
            <w:pPr>
              <w:pStyle w:val="null3"/>
            </w:pPr>
            <w:r>
              <w:rPr/>
              <w:t>法定代表人参加磋商须出具法定代表人身份证明（并附有效证件），被授权代理人参加磋商须出具法定代表人授权书及被授权人有效证件</w:t>
            </w:r>
          </w:p>
        </w:tc>
        <w:tc>
          <w:tcPr>
            <w:tcW w:type="dxa" w:w="1661"/>
          </w:tcPr>
          <w:p>
            <w:pPr>
              <w:pStyle w:val="null3"/>
            </w:pPr>
            <w:r>
              <w:rPr/>
              <w:t>法定代表人身份证明书 法定代表人授权委托书</w:t>
            </w:r>
          </w:p>
        </w:tc>
      </w:tr>
      <w:tr>
        <w:tc>
          <w:tcPr>
            <w:tcW w:type="dxa" w:w="831"/>
          </w:tcPr>
          <w:p>
            <w:pPr>
              <w:pStyle w:val="null3"/>
            </w:pPr>
            <w:r>
              <w:rPr/>
              <w:t>3</w:t>
            </w:r>
          </w:p>
        </w:tc>
        <w:tc>
          <w:tcPr>
            <w:tcW w:type="dxa" w:w="2492"/>
          </w:tcPr>
          <w:p>
            <w:pPr>
              <w:pStyle w:val="null3"/>
            </w:pPr>
            <w:r>
              <w:rPr/>
              <w:t>供应商信誉</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供应商提供2021年至今任意一年的财务审计报告(成立时间至提交响应文件截止时间不足年的可提供成立后任意时段的资产负债表)，或其基本存款账户开户银行出具的资信或资金证明(复印件加盖供应商公章)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履行能力</w:t>
            </w:r>
          </w:p>
        </w:tc>
        <w:tc>
          <w:tcPr>
            <w:tcW w:type="dxa" w:w="3322"/>
          </w:tcPr>
          <w:p>
            <w:pPr>
              <w:pStyle w:val="null3"/>
            </w:pPr>
            <w:r>
              <w:rPr/>
              <w:t>具有履行合同所必需的设备和专业技术能力，提供证明材料或书面承诺并加盖公章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参加政府采购活动近三年内，在经营活动中没有重大违法记录，提供书面声明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提供响应文件递交截止时间前6个月内任意1个月已缴纳完税凭证（任意税种）或税务机关开具的完税证明（任意税种）</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提供响应文件递交截止时间前6个月内任意1个月已缴存的任意时段的社会保障资金缴存单据或社保机构开具的社会保险参保缴费情况证明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响应文件格式、签署盖章</w:t>
            </w:r>
          </w:p>
        </w:tc>
        <w:tc>
          <w:tcPr>
            <w:tcW w:type="dxa" w:w="3322"/>
          </w:tcPr>
          <w:p>
            <w:pPr>
              <w:pStyle w:val="null3"/>
            </w:pPr>
            <w:r>
              <w:rPr/>
              <w:t>应满足磋商文件格式要求</w:t>
            </w:r>
          </w:p>
        </w:tc>
        <w:tc>
          <w:tcPr>
            <w:tcW w:type="dxa" w:w="1661"/>
          </w:tcPr>
          <w:p>
            <w:pPr>
              <w:pStyle w:val="null3"/>
            </w:pPr>
            <w:r>
              <w:rPr/>
              <w:t>服务内容及服务邀请应答表 法定代表人授权委托书 分项报价表 中小企业声明函 商务应答表 供应商应提交的相关资格证明材料 报价表 响应文件封面 法定代表人身份证明书 残疾人福利性单位声明函 服务方案 标的清单 供应商类似项目业绩一览表 响应函 监狱企业的证明文件</w:t>
            </w:r>
          </w:p>
        </w:tc>
      </w:tr>
      <w:tr>
        <w:tc>
          <w:tcPr>
            <w:tcW w:type="dxa" w:w="831"/>
          </w:tcPr>
          <w:p>
            <w:pPr>
              <w:pStyle w:val="null3"/>
            </w:pPr>
            <w:r>
              <w:rPr/>
              <w:t>3</w:t>
            </w:r>
          </w:p>
        </w:tc>
        <w:tc>
          <w:tcPr>
            <w:tcW w:type="dxa" w:w="2492"/>
          </w:tcPr>
          <w:p>
            <w:pPr>
              <w:pStyle w:val="null3"/>
            </w:pPr>
            <w:r>
              <w:rPr/>
              <w:t>报价唯一性</w:t>
            </w:r>
          </w:p>
        </w:tc>
        <w:tc>
          <w:tcPr>
            <w:tcW w:type="dxa" w:w="3322"/>
          </w:tcPr>
          <w:p>
            <w:pPr>
              <w:pStyle w:val="null3"/>
            </w:pPr>
            <w:r>
              <w:rPr/>
              <w:t>各供应商响应文件所报的报价金额必须是唯一报价，不得出现其他金额报价，否则按无效报价对待，其余指标不再评审。</w:t>
            </w:r>
          </w:p>
        </w:tc>
        <w:tc>
          <w:tcPr>
            <w:tcW w:type="dxa" w:w="1661"/>
          </w:tcPr>
          <w:p>
            <w:pPr>
              <w:pStyle w:val="null3"/>
            </w:pPr>
            <w:r>
              <w:rPr/>
              <w:t>分项报价表 标的清单 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应满足磋商文件90日历天</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总体服务规划及服务方案</w:t>
            </w:r>
          </w:p>
        </w:tc>
        <w:tc>
          <w:tcPr>
            <w:tcW w:type="dxa" w:w="2492"/>
          </w:tcPr>
          <w:p>
            <w:pPr>
              <w:pStyle w:val="null3"/>
            </w:pPr>
            <w:r>
              <w:rPr/>
              <w:t>供应商应根据磋商文件的要求，分别提供详细的服务方案，服务内容包括但不限于以下内容：会场设计、施工、搭建、会务组织、会务资料印制、会议全流程组织实施、活动地址的遴选、其他招标人需要的事务性工作等。按照各投标人方案的详尽、完善、服务、可行性等方面进行综合评定；方案详细、完善、可行性强的计14.1-20分；方案比较详细、较完善、可行性比较好的计7.1-14分；方案一般，可行性一般的计0-7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施工及安装方 案</w:t>
            </w:r>
          </w:p>
        </w:tc>
        <w:tc>
          <w:tcPr>
            <w:tcW w:type="dxa" w:w="2492"/>
          </w:tcPr>
          <w:p>
            <w:pPr>
              <w:pStyle w:val="null3"/>
            </w:pPr>
            <w:r>
              <w:rPr/>
              <w:t>针对本项目采购需求及项目实际情况，提供相应的施工及安装方案，包括但不限于质量保证措施、、工期保证措施、安全文明施工及环境保护措施等。 ①方案内容具体、完整、全面、详细，得7.1-10分; ②方案内容较具体、完整、全面、详细，得3.1-7分;③方案内容基本具体、完整、全面、详细，得1-3分; ④未提供不得分。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磋商小组根据响应文件中的各项服务承诺（服务标准、保障措施等），综合比较评分：服务承诺全面、完整、详尽得7.1-10分； 服务承诺较全面、完整得3.1-7分；服务承诺欠缺或未提供，得1-3分。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能够详细列举出各类突发事件及解决措施。综合比较评分：方案详细且可操作得7.1-10分；应急方案较少且操作性一般得3.1-7分；应急方案粗略得1-3分。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 议</w:t>
            </w:r>
          </w:p>
        </w:tc>
        <w:tc>
          <w:tcPr>
            <w:tcW w:type="dxa" w:w="2492"/>
          </w:tcPr>
          <w:p>
            <w:pPr>
              <w:pStyle w:val="null3"/>
            </w:pPr>
            <w:r>
              <w:rPr/>
              <w:t>针对本项目采购需求及项目实际情况，能够提出有价值的合理化建议，且具体切实可行，有利于提升本项目整体服务质量。 ①建议合理、切实可行，内容详尽、全面，得7.1-10分; ②建议较合理、可行，内容较详尽、全面，得3.1-7分; ③建议基本合理、可行，内容基本详尽、全面，得1-3分; ④未提供不得分。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售后保障措施及售后服务措施承诺</w:t>
            </w:r>
          </w:p>
        </w:tc>
        <w:tc>
          <w:tcPr>
            <w:tcW w:type="dxa" w:w="2492"/>
          </w:tcPr>
          <w:p>
            <w:pPr>
              <w:pStyle w:val="null3"/>
            </w:pPr>
            <w:r>
              <w:rPr/>
              <w:t>针对本项目提供的售后保障措施及售后服务措施承诺。 ①售后服务机制健全，售后保障措施详细，售后服务措施承诺具体、可行，得10.1-15分; ②售后服务机制较健全，售后保障措施较详细，售后服务措施承诺较具体、可行，得6.1-10分; ③售后服务机制基本健全，售后保障措施基本详细，售后服务措施承诺基本具体、可行，得1-5分; ④未提供不得分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供应商提供2021年1月1日至今类似项目业绩，每提供一个业绩得2分，满分10分。 注：以合同复印件或中标（成交）通知书为准，日期以合同签订日期或中标（成交）通知书日期为准。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投标报价：以最终报价为准，并计算。 计算方式：统一采用低价优先法计算，即满足磋商文件要求且投标价格最低的投标报价为评标基准价，其价格分为满分。其他供应商的价格分统一按照下列公式计算：投标报价得分=（投标基准价/最终投标报价）×15计算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详见附件：法定代表人身份证明书</w:t>
      </w:r>
    </w:p>
    <w:p>
      <w:pPr>
        <w:pStyle w:val="null3"/>
        <w:ind w:firstLine="960"/>
      </w:pPr>
      <w:r>
        <w:rPr/>
        <w:t>详见附件：法定代表人授权委托书</w:t>
      </w:r>
    </w:p>
    <w:p>
      <w:pPr>
        <w:pStyle w:val="null3"/>
        <w:ind w:firstLine="960"/>
      </w:pPr>
      <w:r>
        <w:rPr/>
        <w:t>详见附件：供应商类似项目业绩一览表</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