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版本号：YAZBTC2025-033.1B120251010001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第三十二届中国杨凌农业高新科技成果博览会铜川展馆设计搭建服务项目(二次)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YAZBTC2025-033.1B1</w:t>
      </w:r>
      <w:r>
        <w:br/>
      </w:r>
      <w:r>
        <w:br/>
      </w:r>
      <w:r>
        <w:br/>
      </w:r>
    </w:p>
    <w:p>
      <w:pPr>
        <w:pStyle w:val="null3"/>
        <w:jc w:val="center"/>
        <w:outlineLvl w:val="2"/>
      </w:pPr>
      <w:r>
        <w:rPr>
          <w:rFonts w:ascii="仿宋_GB2312" w:hAnsi="仿宋_GB2312" w:cs="仿宋_GB2312" w:eastAsia="仿宋_GB2312"/>
          <w:sz w:val="28"/>
          <w:b/>
        </w:rPr>
        <w:t>铜川市农业农村局</w:t>
      </w:r>
    </w:p>
    <w:p>
      <w:pPr>
        <w:pStyle w:val="null3"/>
        <w:jc w:val="center"/>
        <w:outlineLvl w:val="2"/>
      </w:pPr>
      <w:r>
        <w:rPr>
          <w:rFonts w:ascii="仿宋_GB2312" w:hAnsi="仿宋_GB2312" w:cs="仿宋_GB2312" w:eastAsia="仿宋_GB2312"/>
          <w:sz w:val="28"/>
          <w:b/>
        </w:rPr>
        <w:t>镱安项目管理有限公司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镱安项目管理有限公司</w:t>
      </w:r>
      <w:r>
        <w:rPr>
          <w:rFonts w:ascii="仿宋_GB2312" w:hAnsi="仿宋_GB2312" w:cs="仿宋_GB2312" w:eastAsia="仿宋_GB2312"/>
        </w:rPr>
        <w:t>（以下简称“代理机构”）受</w:t>
      </w:r>
      <w:r>
        <w:rPr>
          <w:rFonts w:ascii="仿宋_GB2312" w:hAnsi="仿宋_GB2312" w:cs="仿宋_GB2312" w:eastAsia="仿宋_GB2312"/>
        </w:rPr>
        <w:t>铜川市农业农村局</w:t>
      </w:r>
      <w:r>
        <w:rPr>
          <w:rFonts w:ascii="仿宋_GB2312" w:hAnsi="仿宋_GB2312" w:cs="仿宋_GB2312" w:eastAsia="仿宋_GB2312"/>
        </w:rPr>
        <w:t>委托，拟对</w:t>
      </w:r>
      <w:r>
        <w:rPr>
          <w:rFonts w:ascii="仿宋_GB2312" w:hAnsi="仿宋_GB2312" w:cs="仿宋_GB2312" w:eastAsia="仿宋_GB2312"/>
        </w:rPr>
        <w:t>第三十二届中国杨凌农业高新科技成果博览会铜川展馆设计搭建服务项目(二次)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YAZBTC2025-033.1B1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第三十二届中国杨凌农业高新科技成果博览会铜川展馆设计搭建服务项目(二次)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第三十二届中国杨凌农业高新科技成果博览会铜川展馆设计搭建，本届农高会以“新质生产力·农业新未来”为主题，期间安排展览展示、会议活动、投资贸易、发布评奖、宣传及配套活动等板块的内容，我市共设1个室内展馆，我市展馆设在陕西杨凌农业高新技术产业示范区C馆1楼，编号为CT01，面积为192平方米（12M×16M）。</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采购包1（第三十二届中国杨凌农业高新科技成果博览会铜川展馆设计搭建服务项目）：属于专门面向中小企业采购。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1、营业执照等主体资格证明文件：具有独立承担民事责任能力的法人、其他组织，并出具合法有效的营业执照或事业单位法人证书等国家规定的相关证明。</w:t>
      </w:r>
    </w:p>
    <w:p>
      <w:pPr>
        <w:pStyle w:val="null3"/>
      </w:pPr>
      <w:r>
        <w:rPr>
          <w:rFonts w:ascii="仿宋_GB2312" w:hAnsi="仿宋_GB2312" w:cs="仿宋_GB2312" w:eastAsia="仿宋_GB2312"/>
        </w:rPr>
        <w:t>2、具有健全的财务会计制度：提供具有财务审计资质单位出具的2024年度财务报告或递交响应文件前六个月内其基本账户银行出具的资信证明或政府采购信用担保机构出具的投标担保函。</w:t>
      </w:r>
    </w:p>
    <w:p>
      <w:pPr>
        <w:pStyle w:val="null3"/>
      </w:pPr>
      <w:r>
        <w:rPr>
          <w:rFonts w:ascii="仿宋_GB2312" w:hAnsi="仿宋_GB2312" w:cs="仿宋_GB2312" w:eastAsia="仿宋_GB2312"/>
        </w:rPr>
        <w:t>3、依法缴纳税收和社会保障资金证明：依法缴纳税收和社会保障资金提供2025年任意1个月缴纳证明（无需缴纳提供相应证明文件）。</w:t>
      </w:r>
    </w:p>
    <w:p>
      <w:pPr>
        <w:pStyle w:val="null3"/>
      </w:pPr>
      <w:r>
        <w:rPr>
          <w:rFonts w:ascii="仿宋_GB2312" w:hAnsi="仿宋_GB2312" w:cs="仿宋_GB2312" w:eastAsia="仿宋_GB2312"/>
        </w:rPr>
        <w:t>4、法定代表人证明书或法定代表人授权书：法定代表人参加磋商的，须提供法人身份证明书，法定代表人授权他人参加磋商的，须提供法定代表人授权委托书。</w:t>
      </w:r>
    </w:p>
    <w:p>
      <w:pPr>
        <w:pStyle w:val="null3"/>
      </w:pPr>
      <w:r>
        <w:rPr>
          <w:rFonts w:ascii="仿宋_GB2312" w:hAnsi="仿宋_GB2312" w:cs="仿宋_GB2312" w:eastAsia="仿宋_GB2312"/>
        </w:rPr>
        <w:t>5、具有良好的商业信誉：供应商不得为“信用中国(www.creditchina.gov.cn)”中列入重大税收违法失信主体及严重失信主体名单查询的供应商；不得在“中国执行信息公开网(http://zxgk.court.gov.cn)”被列为失信被执行人；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6、说明及承诺：提供具有履行本合同所必需的设备和专业技术能力的说明及承诺</w:t>
      </w:r>
    </w:p>
    <w:p>
      <w:pPr>
        <w:pStyle w:val="null3"/>
      </w:pPr>
      <w:r>
        <w:rPr>
          <w:rFonts w:ascii="仿宋_GB2312" w:hAnsi="仿宋_GB2312" w:cs="仿宋_GB2312" w:eastAsia="仿宋_GB2312"/>
        </w:rPr>
        <w:t>7、书面声明：提供参加政府采购活动近三年内在经营活动中没有重大违法记录的书面声明。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铜川市正阳路9号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铜川市农业局经办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15910370270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镱安项目管理有限公司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陕西省西安市新城区陕西省西安市新城区石家街127号东岸国际17层1702室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15209199909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颁布的《招标代理服务收费管理暂行办法》（计价格『2002』1980号）和国家发展改革委员会办公厅颁发的《关于招标代理服务收费有关问题的通知》（发改办价格『2003』857号）招标代理服务费的收费标准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铜川市农业农村局</w:t>
      </w:r>
      <w:r>
        <w:rPr>
          <w:rFonts w:ascii="仿宋_GB2312" w:hAnsi="仿宋_GB2312" w:cs="仿宋_GB2312" w:eastAsia="仿宋_GB2312"/>
        </w:rPr>
        <w:t>和</w:t>
      </w:r>
      <w:r>
        <w:rPr>
          <w:rFonts w:ascii="仿宋_GB2312" w:hAnsi="仿宋_GB2312" w:cs="仿宋_GB2312" w:eastAsia="仿宋_GB2312"/>
        </w:rPr>
        <w:t>镱安项目管理有限公司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镱安项目管理有限公司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镱安项目管理有限公司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满足竞争性磋商文件和采购人规范标准要求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镱安项目管理有限公司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镱安项目管理有限公司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镱安项目管理有限公司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联系电话：15209199909</w:t>
      </w:r>
    </w:p>
    <w:p>
      <w:pPr>
        <w:pStyle w:val="null3"/>
      </w:pPr>
      <w:r>
        <w:rPr>
          <w:rFonts w:ascii="仿宋_GB2312" w:hAnsi="仿宋_GB2312" w:cs="仿宋_GB2312" w:eastAsia="仿宋_GB2312"/>
        </w:rPr>
        <w:t>地址：陕西省西安市新城区陕西省西安市新城区石家街127号东岸国际17层1702室</w:t>
      </w:r>
    </w:p>
    <w:p>
      <w:pPr>
        <w:pStyle w:val="null3"/>
      </w:pPr>
      <w:r>
        <w:rPr>
          <w:rFonts w:ascii="仿宋_GB2312" w:hAnsi="仿宋_GB2312" w:cs="仿宋_GB2312" w:eastAsia="仿宋_GB2312"/>
        </w:rPr>
        <w:t>邮编：721000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第三十二届中国杨凌农业高新科技成果博览会铜川展馆设计搭建服务本届农高会以“新质生产力·农业新未来”为主题，期间安排展览展示、会议活动、投资贸易、发布评奖、宣传及配套活动等板块的内容，我市共设1个室内展馆，我市展馆设在陕西杨凌农业高新技术产业示范区C馆1楼，编号为CT01，面积为192平方米（12M×16M）。</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498,888.37</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第三十二届中国杨凌农业高新科技成果博览会铜川展馆设计搭建服务项目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标的名称：第三十二届中国杨凌农业高新科技成果博览会铜川展馆设计搭建服务项目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b/>
              </w:rPr>
              <w:t>一．</w:t>
            </w:r>
            <w:r>
              <w:rPr>
                <w:rFonts w:ascii="仿宋_GB2312" w:hAnsi="仿宋_GB2312" w:cs="仿宋_GB2312" w:eastAsia="仿宋_GB2312"/>
                <w:sz w:val="28"/>
                <w:b/>
              </w:rPr>
              <w:t>项目背景</w:t>
            </w:r>
          </w:p>
          <w:p>
            <w:pPr>
              <w:pStyle w:val="null3"/>
            </w:pPr>
            <w:r>
              <w:rPr>
                <w:rFonts w:ascii="仿宋_GB2312" w:hAnsi="仿宋_GB2312" w:cs="仿宋_GB2312" w:eastAsia="仿宋_GB2312"/>
                <w:sz w:val="21"/>
                <w:b/>
              </w:rPr>
              <w:t xml:space="preserve"> </w:t>
            </w:r>
            <w:r>
              <w:rPr>
                <w:rFonts w:ascii="仿宋_GB2312" w:hAnsi="仿宋_GB2312" w:cs="仿宋_GB2312" w:eastAsia="仿宋_GB2312"/>
                <w:sz w:val="21"/>
                <w:b/>
              </w:rPr>
              <w:t xml:space="preserve">  </w:t>
            </w:r>
            <w:r>
              <w:rPr>
                <w:rFonts w:ascii="仿宋_GB2312" w:hAnsi="仿宋_GB2312" w:cs="仿宋_GB2312" w:eastAsia="仿宋_GB2312"/>
                <w:sz w:val="28"/>
              </w:rPr>
              <w:t>本届农高会以</w:t>
            </w:r>
            <w:r>
              <w:rPr>
                <w:rFonts w:ascii="仿宋_GB2312" w:hAnsi="仿宋_GB2312" w:cs="仿宋_GB2312" w:eastAsia="仿宋_GB2312"/>
                <w:sz w:val="28"/>
              </w:rPr>
              <w:t>“新质生产力·农业新未来”为主题，期间安排展览展示、会议活动、投资贸易、发布评奖、宣传及配套活动等板块的内容，我市共设1个室内展馆，我市展馆设在陕西杨凌农业高新技术产业示范区C馆</w:t>
            </w:r>
            <w:r>
              <w:rPr>
                <w:rFonts w:ascii="仿宋_GB2312" w:hAnsi="仿宋_GB2312" w:cs="仿宋_GB2312" w:eastAsia="仿宋_GB2312"/>
                <w:sz w:val="28"/>
              </w:rPr>
              <w:t>1楼</w:t>
            </w:r>
            <w:r>
              <w:rPr>
                <w:rFonts w:ascii="仿宋_GB2312" w:hAnsi="仿宋_GB2312" w:cs="仿宋_GB2312" w:eastAsia="仿宋_GB2312"/>
                <w:sz w:val="28"/>
              </w:rPr>
              <w:t>，编号为</w:t>
            </w:r>
            <w:r>
              <w:rPr>
                <w:rFonts w:ascii="仿宋_GB2312" w:hAnsi="仿宋_GB2312" w:cs="仿宋_GB2312" w:eastAsia="仿宋_GB2312"/>
                <w:sz w:val="28"/>
              </w:rPr>
              <w:t>CT0</w:t>
            </w:r>
            <w:r>
              <w:rPr>
                <w:rFonts w:ascii="仿宋_GB2312" w:hAnsi="仿宋_GB2312" w:cs="仿宋_GB2312" w:eastAsia="仿宋_GB2312"/>
                <w:sz w:val="28"/>
              </w:rPr>
              <w:t>1</w:t>
            </w:r>
            <w:r>
              <w:rPr>
                <w:rFonts w:ascii="仿宋_GB2312" w:hAnsi="仿宋_GB2312" w:cs="仿宋_GB2312" w:eastAsia="仿宋_GB2312"/>
                <w:sz w:val="28"/>
              </w:rPr>
              <w:t>，面积为</w:t>
            </w:r>
            <w:r>
              <w:rPr>
                <w:rFonts w:ascii="仿宋_GB2312" w:hAnsi="仿宋_GB2312" w:cs="仿宋_GB2312" w:eastAsia="仿宋_GB2312"/>
                <w:sz w:val="28"/>
              </w:rPr>
              <w:t>192平方米（12M×16M）。</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建设目标及内容</w:t>
            </w:r>
          </w:p>
          <w:p>
            <w:pPr>
              <w:pStyle w:val="null3"/>
              <w:jc w:val="both"/>
            </w:pPr>
            <w:r>
              <w:rPr>
                <w:rFonts w:ascii="仿宋_GB2312" w:hAnsi="仿宋_GB2312" w:cs="仿宋_GB2312" w:eastAsia="仿宋_GB2312"/>
                <w:sz w:val="28"/>
                <w:b/>
              </w:rPr>
              <w:t>项目概况</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项目名称：</w:t>
            </w:r>
            <w:r>
              <w:rPr>
                <w:rFonts w:ascii="仿宋_GB2312" w:hAnsi="仿宋_GB2312" w:cs="仿宋_GB2312" w:eastAsia="仿宋_GB2312"/>
                <w:sz w:val="28"/>
              </w:rPr>
              <w:t>第三十二届中国</w:t>
            </w:r>
            <w:r>
              <w:rPr>
                <w:rFonts w:ascii="仿宋_GB2312" w:hAnsi="仿宋_GB2312" w:cs="仿宋_GB2312" w:eastAsia="仿宋_GB2312"/>
                <w:sz w:val="28"/>
              </w:rPr>
              <w:t>业高新</w:t>
            </w:r>
            <w:r>
              <w:rPr>
                <w:rFonts w:ascii="仿宋_GB2312" w:hAnsi="仿宋_GB2312" w:cs="仿宋_GB2312" w:eastAsia="仿宋_GB2312"/>
                <w:sz w:val="28"/>
              </w:rPr>
              <w:t>杨凌农科技成果博览会铜川展</w:t>
            </w:r>
            <w:r>
              <w:rPr>
                <w:rFonts w:ascii="仿宋_GB2312" w:hAnsi="仿宋_GB2312" w:cs="仿宋_GB2312" w:eastAsia="仿宋_GB2312"/>
                <w:sz w:val="28"/>
              </w:rPr>
              <w:t>馆设计搭建</w:t>
            </w:r>
            <w:r>
              <w:rPr>
                <w:rFonts w:ascii="仿宋_GB2312" w:hAnsi="仿宋_GB2312" w:cs="仿宋_GB2312" w:eastAsia="仿宋_GB2312"/>
                <w:sz w:val="28"/>
              </w:rPr>
              <w:t>服务项目</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项目服务期</w:t>
            </w:r>
            <w:r>
              <w:rPr>
                <w:rFonts w:ascii="仿宋_GB2312" w:hAnsi="仿宋_GB2312" w:cs="仿宋_GB2312" w:eastAsia="仿宋_GB2312"/>
                <w:sz w:val="28"/>
              </w:rPr>
              <w:t>：</w:t>
            </w:r>
            <w:r>
              <w:rPr>
                <w:rFonts w:ascii="仿宋_GB2312" w:hAnsi="仿宋_GB2312" w:cs="仿宋_GB2312" w:eastAsia="仿宋_GB2312"/>
                <w:sz w:val="27"/>
              </w:rPr>
              <w:t>自合同签订之日起至撤展完成之日止</w:t>
            </w:r>
          </w:p>
          <w:p>
            <w:pPr>
              <w:pStyle w:val="null3"/>
              <w:jc w:val="both"/>
            </w:pPr>
            <w:r>
              <w:rPr>
                <w:rFonts w:ascii="仿宋_GB2312" w:hAnsi="仿宋_GB2312" w:cs="仿宋_GB2312" w:eastAsia="仿宋_GB2312"/>
                <w:sz w:val="28"/>
              </w:rPr>
              <w:t>3、项目实施地点：</w:t>
            </w:r>
            <w:r>
              <w:rPr>
                <w:rFonts w:ascii="仿宋_GB2312" w:hAnsi="仿宋_GB2312" w:cs="仿宋_GB2312" w:eastAsia="仿宋_GB2312"/>
                <w:sz w:val="28"/>
              </w:rPr>
              <w:t>陕西杨凌</w:t>
            </w:r>
            <w:r>
              <w:rPr>
                <w:rFonts w:ascii="仿宋_GB2312" w:hAnsi="仿宋_GB2312" w:cs="仿宋_GB2312" w:eastAsia="仿宋_GB2312"/>
                <w:sz w:val="28"/>
              </w:rPr>
              <w:t>会展中心</w:t>
            </w:r>
            <w:r>
              <w:rPr>
                <w:rFonts w:ascii="仿宋_GB2312" w:hAnsi="仿宋_GB2312" w:cs="仿宋_GB2312" w:eastAsia="仿宋_GB2312"/>
                <w:sz w:val="28"/>
              </w:rPr>
              <w:t>C馆1楼</w:t>
            </w:r>
          </w:p>
          <w:p>
            <w:pPr>
              <w:pStyle w:val="null3"/>
              <w:jc w:val="both"/>
              <w:outlineLvl w:val="0"/>
            </w:pPr>
            <w:r>
              <w:rPr>
                <w:rFonts w:ascii="仿宋_GB2312" w:hAnsi="仿宋_GB2312" w:cs="仿宋_GB2312" w:eastAsia="仿宋_GB2312"/>
                <w:sz w:val="28"/>
                <w:b/>
              </w:rPr>
              <w:t>4</w:t>
            </w:r>
            <w:r>
              <w:rPr>
                <w:rFonts w:ascii="仿宋_GB2312" w:hAnsi="仿宋_GB2312" w:cs="仿宋_GB2312" w:eastAsia="仿宋_GB2312"/>
                <w:sz w:val="28"/>
                <w:b/>
              </w:rPr>
              <w:t>、</w:t>
            </w:r>
            <w:r>
              <w:rPr>
                <w:rFonts w:ascii="仿宋_GB2312" w:hAnsi="仿宋_GB2312" w:cs="仿宋_GB2312" w:eastAsia="仿宋_GB2312"/>
                <w:sz w:val="28"/>
                <w:b/>
              </w:rPr>
              <w:t>展位</w:t>
            </w:r>
            <w:r>
              <w:rPr>
                <w:rFonts w:ascii="仿宋_GB2312" w:hAnsi="仿宋_GB2312" w:cs="仿宋_GB2312" w:eastAsia="仿宋_GB2312"/>
                <w:sz w:val="28"/>
                <w:b/>
              </w:rPr>
              <w:t>平面图如下：</w:t>
            </w:r>
          </w:p>
          <w:p>
            <w:pPr>
              <w:pStyle w:val="null3"/>
              <w:jc w:val="left"/>
              <w:outlineLvl w:val="0"/>
            </w:pPr>
            <w:r>
              <w:rPr>
                <w:rFonts w:ascii="仿宋_GB2312" w:hAnsi="仿宋_GB2312" w:cs="仿宋_GB2312" w:eastAsia="仿宋_GB2312"/>
                <w:sz w:val="48"/>
                <w:b/>
              </w:rPr>
              <w:t xml:space="preserve"> </w:t>
            </w:r>
          </w:p>
          <w:p>
            <w:pPr>
              <w:pStyle w:val="null3"/>
              <w:jc w:val="left"/>
              <w:outlineLvl w:val="0"/>
            </w:pPr>
            <w:r>
              <w:rPr>
                <w:rFonts w:ascii="仿宋_GB2312" w:hAnsi="仿宋_GB2312" w:cs="仿宋_GB2312" w:eastAsia="仿宋_GB2312"/>
                <w:sz w:val="48"/>
                <w:b/>
              </w:rPr>
              <w:t xml:space="preserve"> </w:t>
            </w:r>
          </w:p>
          <w:p>
            <w:pPr>
              <w:pStyle w:val="null3"/>
              <w:jc w:val="left"/>
              <w:outlineLvl w:val="0"/>
            </w:pPr>
            <w:r>
              <w:drawing>
                <wp:inline distT="0" distR="0" distB="0" distL="0">
                  <wp:extent cx="1621155" cy="1205734"/>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1205734"/>
                          </a:xfrm>
                          <a:prstGeom prst="rect">
                            <a:avLst/>
                          </a:prstGeom>
                        </pic:spPr>
                      </pic:pic>
                    </a:graphicData>
                  </a:graphic>
                </wp:inline>
              </w:drawing>
            </w:r>
          </w:p>
          <w:p>
            <w:pPr>
              <w:pStyle w:val="null3"/>
              <w:jc w:val="center"/>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4"/>
                <w:b/>
              </w:rPr>
              <w:t>备注：以上日程按组委会要求</w:t>
            </w:r>
          </w:p>
          <w:p>
            <w:pPr>
              <w:pStyle w:val="null3"/>
            </w:pPr>
            <w:r>
              <w:rPr>
                <w:rFonts w:ascii="仿宋_GB2312" w:hAnsi="仿宋_GB2312" w:cs="仿宋_GB2312" w:eastAsia="仿宋_GB2312"/>
                <w:sz w:val="28"/>
              </w:rPr>
              <w:t>5</w:t>
            </w:r>
            <w:r>
              <w:rPr>
                <w:rFonts w:ascii="仿宋_GB2312" w:hAnsi="仿宋_GB2312" w:cs="仿宋_GB2312" w:eastAsia="仿宋_GB2312"/>
                <w:sz w:val="28"/>
              </w:rPr>
              <w:t>、费用包含</w:t>
            </w:r>
            <w:r>
              <w:rPr>
                <w:rFonts w:ascii="仿宋_GB2312" w:hAnsi="仿宋_GB2312" w:cs="仿宋_GB2312" w:eastAsia="仿宋_GB2312"/>
                <w:sz w:val="28"/>
              </w:rPr>
              <w:t>展台</w:t>
            </w:r>
            <w:r>
              <w:rPr>
                <w:rFonts w:ascii="仿宋_GB2312" w:hAnsi="仿宋_GB2312" w:cs="仿宋_GB2312" w:eastAsia="仿宋_GB2312"/>
                <w:sz w:val="28"/>
              </w:rPr>
              <w:t>设计、制作、搭建、</w:t>
            </w:r>
            <w:r>
              <w:rPr>
                <w:rFonts w:ascii="仿宋_GB2312" w:hAnsi="仿宋_GB2312" w:cs="仿宋_GB2312" w:eastAsia="仿宋_GB2312"/>
                <w:sz w:val="28"/>
              </w:rPr>
              <w:t>宣传物料、多媒体控制技术</w:t>
            </w:r>
            <w:r>
              <w:rPr>
                <w:rFonts w:ascii="仿宋_GB2312" w:hAnsi="仿宋_GB2312" w:cs="仿宋_GB2312" w:eastAsia="仿宋_GB2312"/>
                <w:sz w:val="28"/>
              </w:rPr>
              <w:t>人员工资、</w:t>
            </w:r>
            <w:r>
              <w:rPr>
                <w:rFonts w:ascii="仿宋_GB2312" w:hAnsi="仿宋_GB2312" w:cs="仿宋_GB2312" w:eastAsia="仿宋_GB2312"/>
                <w:sz w:val="28"/>
              </w:rPr>
              <w:t>报馆、安装、布展、展期用电接驳、施工管理费、场地施工延时加班费、展期服务、拆除、撤馆等所有搭建相关费用，合同实施时不再另行追加其他任何费用。</w:t>
            </w:r>
          </w:p>
          <w:p>
            <w:pPr>
              <w:pStyle w:val="null3"/>
            </w:pPr>
            <w:r>
              <w:rPr>
                <w:rFonts w:ascii="仿宋_GB2312" w:hAnsi="仿宋_GB2312" w:cs="仿宋_GB2312" w:eastAsia="仿宋_GB2312"/>
                <w:sz w:val="28"/>
                <w:b/>
              </w:rPr>
              <w:t>创意说明</w:t>
            </w:r>
          </w:p>
          <w:p>
            <w:pPr>
              <w:pStyle w:val="null3"/>
            </w:pPr>
            <w:r>
              <w:rPr>
                <w:rFonts w:ascii="仿宋_GB2312" w:hAnsi="仿宋_GB2312" w:cs="仿宋_GB2312" w:eastAsia="仿宋_GB2312"/>
                <w:sz w:val="28"/>
              </w:rPr>
              <w:t>新质生产力</w:t>
            </w:r>
            <w:r>
              <w:rPr>
                <w:rFonts w:ascii="仿宋_GB2312" w:hAnsi="仿宋_GB2312" w:cs="仿宋_GB2312" w:eastAsia="仿宋_GB2312"/>
                <w:sz w:val="28"/>
              </w:rPr>
              <w:t>·农业新未来</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8"/>
              </w:rPr>
              <w:t>以特装形式进行整体设计，围绕农业科技创新示范引领，助推农业高质量发展，助力乡村振兴主线。设计上要体现我市如何指导特色现代农业发展、如何进行产业融合，体现我市在推进农业绿色发展中的新技术和新模式。通过一系列外观新颖、技术含量高、吸引人的实物产品、模型，通过一批地域特色明显、文化内涵丰富、专业技术一流的画面，全方位展示铜川近年来在现代农业、农业产业化等方面得</w:t>
            </w:r>
            <w:r>
              <w:rPr>
                <w:rFonts w:ascii="仿宋_GB2312" w:hAnsi="仿宋_GB2312" w:cs="仿宋_GB2312" w:eastAsia="仿宋_GB2312"/>
                <w:sz w:val="28"/>
              </w:rPr>
              <w:t>的新成果、新成就。</w:t>
            </w:r>
          </w:p>
          <w:p>
            <w:pPr>
              <w:pStyle w:val="null3"/>
              <w:jc w:val="both"/>
            </w:pPr>
            <w:r>
              <w:rPr>
                <w:rFonts w:ascii="仿宋_GB2312" w:hAnsi="仿宋_GB2312" w:cs="仿宋_GB2312" w:eastAsia="仿宋_GB2312"/>
                <w:sz w:val="28"/>
                <w:b/>
              </w:rPr>
              <w:t>设计要求</w:t>
            </w:r>
          </w:p>
          <w:p>
            <w:pPr>
              <w:pStyle w:val="null3"/>
              <w:jc w:val="left"/>
            </w:pPr>
            <w:r>
              <w:rPr>
                <w:rFonts w:ascii="仿宋_GB2312" w:hAnsi="仿宋_GB2312" w:cs="仿宋_GB2312" w:eastAsia="仿宋_GB2312"/>
                <w:sz w:val="28"/>
              </w:rPr>
              <w:t>01、表现形式要创新、展区设计要新颖、宣传手段要灵活，特装设计和制作要坚持节俭、绿色环保的原则，综合运用现代展示手段全面展示铜川现代特色农业新成果。</w:t>
            </w:r>
          </w:p>
          <w:p>
            <w:pPr>
              <w:pStyle w:val="null3"/>
              <w:jc w:val="left"/>
            </w:pPr>
            <w:r>
              <w:rPr>
                <w:rFonts w:ascii="仿宋_GB2312" w:hAnsi="仿宋_GB2312" w:cs="仿宋_GB2312" w:eastAsia="仿宋_GB2312"/>
                <w:sz w:val="28"/>
              </w:rPr>
              <w:t>02、展馆展区内单设宣君县、印合区、王益区、耀州区、新区5个展位区域，体现我市及各区县首位产业、特色产业，全面展示创新合作及现代农业发展成果;设农产品品尝、品鉴区，增加参观群众的交流互动。</w:t>
            </w:r>
          </w:p>
          <w:p>
            <w:pPr>
              <w:pStyle w:val="null3"/>
              <w:jc w:val="left"/>
            </w:pPr>
            <w:r>
              <w:rPr>
                <w:rFonts w:ascii="仿宋_GB2312" w:hAnsi="仿宋_GB2312" w:cs="仿宋_GB2312" w:eastAsia="仿宋_GB2312"/>
                <w:sz w:val="28"/>
              </w:rPr>
              <w:t>03、设计体现铜川特色和发展特点，新颖别致，富有创意，具有视觉冲击力和吸引力。展馆展区布局大气合理，整体性好，能充分完整体现铜川元素符号，突出我市城市形象logo宣传，展示铜川现代农业新面貌。</w:t>
            </w:r>
          </w:p>
          <w:p>
            <w:pPr>
              <w:pStyle w:val="null3"/>
              <w:jc w:val="left"/>
            </w:pPr>
            <w:r>
              <w:rPr>
                <w:rFonts w:ascii="仿宋_GB2312" w:hAnsi="仿宋_GB2312" w:cs="仿宋_GB2312" w:eastAsia="仿宋_GB2312"/>
                <w:sz w:val="28"/>
              </w:rPr>
              <w:t>04、门头设计要着力体现铜川特色和发展特点，新颖别致，富有创意，具有视觉冲击力和吸引力。</w:t>
            </w:r>
          </w:p>
          <w:p>
            <w:pPr>
              <w:pStyle w:val="null3"/>
              <w:jc w:val="left"/>
            </w:pPr>
            <w:r>
              <w:rPr>
                <w:rFonts w:ascii="仿宋_GB2312" w:hAnsi="仿宋_GB2312" w:cs="仿宋_GB2312" w:eastAsia="仿宋_GB2312"/>
                <w:sz w:val="28"/>
              </w:rPr>
              <w:t>05、展版、展柜、(展台)设计，要根据铜川的主导产业、重点项目、骨干企业、特色产品分专区布展，力求巧妙、精致、实用、美观，并配有合适灯光。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满足第三十二届中国杨凌农业高新科技成果博览会铜川市展馆搭建布展需求。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满足第三十二届中国杨凌农业高新科技成果博览会铜川市展馆搭建布展需求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自合同签订之日起至撤展完成之日止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满足竞争性磋商文件和采购人规范标准要求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项目完成后一次性付清（具体以采购人签订合同确定为准）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合同执行中发生争议的，当事人双方应协解决。协商达不成一致时，可向同级行政 仲裁机关申请仲裁。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具有独立承担民事责任能力的法人、其他组织，并出具合法有效的营业执照或事业单位法人证书等国家规定的相关证明。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具有健全的财务会计制度</w:t>
            </w:r>
          </w:p>
        </w:tc>
        <w:tc>
          <w:tcPr>
            <w:tcW w:type="dxa" w:w="3322"/>
          </w:tcPr>
          <w:p>
            <w:pPr>
              <w:pStyle w:val="null3"/>
            </w:pPr>
            <w:r>
              <w:rPr>
                <w:rFonts w:ascii="仿宋_GB2312" w:hAnsi="仿宋_GB2312" w:cs="仿宋_GB2312" w:eastAsia="仿宋_GB2312"/>
              </w:rPr>
              <w:t>提供具有财务审计资质单位出具的2024年度财务报告或递交响应文件前六个月内其基本账户银行出具的资信证明或政府采购信用担保机构出具的投标担保函。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依法缴纳税收和社会保障资金证明</w:t>
            </w:r>
          </w:p>
        </w:tc>
        <w:tc>
          <w:tcPr>
            <w:tcW w:type="dxa" w:w="3322"/>
          </w:tcPr>
          <w:p>
            <w:pPr>
              <w:pStyle w:val="null3"/>
            </w:pPr>
            <w:r>
              <w:rPr>
                <w:rFonts w:ascii="仿宋_GB2312" w:hAnsi="仿宋_GB2312" w:cs="仿宋_GB2312" w:eastAsia="仿宋_GB2312"/>
              </w:rPr>
              <w:t>依法缴纳税收和社会保障资金提供2025年任意1个月缴纳证明（无需缴纳提供相应证明文件）。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法定代表人参加磋商的，须提供法人身份证明书，法定代表人授权他人参加磋商的，须提供法定代表人授权委托书。</w:t>
            </w:r>
          </w:p>
        </w:tc>
        <w:tc>
          <w:tcPr>
            <w:tcW w:type="dxa" w:w="1661"/>
          </w:tcPr>
          <w:p>
            <w:pPr>
              <w:pStyle w:val="null3"/>
            </w:pPr>
            <w:r>
              <w:rPr>
                <w:rFonts w:ascii="仿宋_GB2312" w:hAnsi="仿宋_GB2312" w:cs="仿宋_GB2312" w:eastAsia="仿宋_GB2312"/>
              </w:rPr>
              <w:t>法定代表人身份证明及授权委托书.docx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供应商不得为“信用中国(www.creditchina.gov.cn)”中列入重大税收违法失信主体及严重失信主体名单查询的供应商；不得在“中国执行信息公开网(http://zxgk.court.gov.cn)”被列为失信被执行人；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提供参加政府采购活动近三年内在经营活动中没有重大违法记录的书面声明。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符合“投标响应文件格式”要求。</w:t>
            </w:r>
          </w:p>
        </w:tc>
        <w:tc>
          <w:tcPr>
            <w:tcW w:type="dxa" w:w="1661"/>
          </w:tcPr>
          <w:p>
            <w:pPr>
              <w:pStyle w:val="null3"/>
            </w:pPr>
            <w:r>
              <w:rPr>
                <w:rFonts w:ascii="仿宋_GB2312" w:hAnsi="仿宋_GB2312" w:cs="仿宋_GB2312" w:eastAsia="仿宋_GB2312"/>
              </w:rPr>
              <w:t>响应文件封面 法定代表人身份证明及授权委托书.docx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服务内容及服务邀请应答表 商务应答表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商务应答表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满足磋商文件要求，磋商响应的签字盖章合格有效。</w:t>
            </w:r>
          </w:p>
        </w:tc>
        <w:tc>
          <w:tcPr>
            <w:tcW w:type="dxa" w:w="1661"/>
          </w:tcPr>
          <w:p>
            <w:pPr>
              <w:pStyle w:val="null3"/>
            </w:pPr>
            <w:r>
              <w:rPr>
                <w:rFonts w:ascii="仿宋_GB2312" w:hAnsi="仿宋_GB2312" w:cs="仿宋_GB2312" w:eastAsia="仿宋_GB2312"/>
              </w:rPr>
              <w:t>响应文件封面 法定代表人身份证明及授权委托书.docx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完全响应磋商文件商务要求、技术服务要求。</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响应文件封面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针对本项目采购需求及项目实际情况，提供针对本项目的整体服务方案，从对本项目的实施背景、工作目的、目标及内容解读到位，理解全面、深入等方面提供。 ①方案设计合理，架构完整，层次清晰，满足本项目采购需求，得10-15分; ②方案设计较合理，架构较完整，层次较清晰，较满足本项目采购需求，得5-10分; ③方案设计基本合理，架构基本完整，层次基本清晰，基本满足本项目采购需求，得1-5分; ④未提供不得分。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布展设计方案</w:t>
            </w:r>
          </w:p>
        </w:tc>
        <w:tc>
          <w:tcPr>
            <w:tcW w:type="dxa" w:w="2492"/>
          </w:tcPr>
          <w:p>
            <w:pPr>
              <w:pStyle w:val="null3"/>
            </w:pPr>
            <w:r>
              <w:rPr>
                <w:rFonts w:ascii="仿宋_GB2312" w:hAnsi="仿宋_GB2312" w:cs="仿宋_GB2312" w:eastAsia="仿宋_GB2312"/>
              </w:rPr>
              <w:t>针对本项目采购需求及项目实际情况，提供设计方案。 ①方案思路清晰，理念解读到位，功能设计符合项目实际情况且可实施性强，得7-10分; ②方案思路较清晰，理念解读较到位，功能设计较符合项目实际情况且可实施性一般，得4-7分; ③方案思路基本清晰，理念解读基本到位，功能设计基本符合项目实际情况，得1-4分; ④未提供不得分。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施工及安装方案</w:t>
            </w:r>
          </w:p>
        </w:tc>
        <w:tc>
          <w:tcPr>
            <w:tcW w:type="dxa" w:w="2492"/>
          </w:tcPr>
          <w:p>
            <w:pPr>
              <w:pStyle w:val="null3"/>
            </w:pPr>
            <w:r>
              <w:rPr>
                <w:rFonts w:ascii="仿宋_GB2312" w:hAnsi="仿宋_GB2312" w:cs="仿宋_GB2312" w:eastAsia="仿宋_GB2312"/>
              </w:rPr>
              <w:t>针对本项目采购需求及项目实际情况，提供相应的施工及安装方案，包括安全文明施工及环境保护措施等。 ①方案内容具体、完整、全面、详细，得7-10分; ②方案内容较具体、完整、全面、详细，得3-7分; ③方案内容基本具体、完整、全面、详细，得1-3分;④未提供不得分。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供应商针对本项目提供故障突发事件的处理方案以及故障响应的时效性保证措施，①方案内容具体、完整、全面、详细，得7-10分; ②方案内容较具体、完整、全面、详细，得3-7分; ③方案内容基本具体、完整、全面、详细，得1-3分;④未提供不得分。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针对本项目制定服务保障方案，包括各阶段工作安排、各阶段工作中形成成果内容及交付计划、工作进度计划及质量保证措施等。 ①方案内容具体、完整、详细、全面，得7-10分; ②方案内容较具体、完整、详细、全面，得3-7分; ③方案内容基本具体、完整、详细、全面，得1-3分; ④未提供不得分。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售后保障措施及售后服务措施承诺</w:t>
            </w:r>
          </w:p>
        </w:tc>
        <w:tc>
          <w:tcPr>
            <w:tcW w:type="dxa" w:w="2492"/>
          </w:tcPr>
          <w:p>
            <w:pPr>
              <w:pStyle w:val="null3"/>
            </w:pPr>
            <w:r>
              <w:rPr>
                <w:rFonts w:ascii="仿宋_GB2312" w:hAnsi="仿宋_GB2312" w:cs="仿宋_GB2312" w:eastAsia="仿宋_GB2312"/>
              </w:rPr>
              <w:t>针对本项目提供的售后保障措施及售后服务措施承诺。 ①售后服务机制健全，售后保障措施详细，售后服务措施承诺具体、可行，得7-10分; ②售后服务机制较健全，售后保障措施较详细，售后服务措施承诺较具体、可行，得3-7分; ③售后服务机制基本健全，售后保障措施基本详细，售后服务措施承诺基本具体、可行，得1-3分; ④未提供不得分。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对本项目要求工作重点、难点分析透彻，总体建议方案思路完整清晰、结合实际切实可行评标委员会横向比较综合赋分1-5分。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人员配备 ①详细的人员配置方案，有健全的组织机构及工作安排，岗位分工明确，得3-5分； ②有详细的人员配置方案，组织机构及工作安排基本完善、合理，岗位分工明确得，2-3分； ③有详细的人员配置方案，组织机构及工作安排合理性差，岗位分工不明确，得1-3分； ④未提供不计分。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针对本项目采购需求及项目实际情况，能够提出有价值的合理化建议，且具体切实可行，有利于提升本项目整体服务质量。 ①建议合理、切实可行，内容详尽、全面，得7-10分; ②建议较合理、可行，内容较详尽、全面，得4-7分; ③建议基本合理、可行，内容基本详尽、全面，得1-4分; ④未提供不得分。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以合同或成交通知书的形式提供近三年（2022 年至今）同类业绩，每一份计1分，计满5分为止。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价格分统一采用低价优先法计算，即满足磋商文件要求且投标价格最低的投标报价为评标基准价，其价 格分为满分。其他投标人的价格分统一按照下列公式计算： 投标报价得分=(评标基准价／投标报价)×价 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详见附件：法定代表人身份证明及授权委托书.docx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