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版本号：FHZB-202500120251013001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铜川新区城市排水设施维护服务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FHZB-2025001</w:t>
      </w:r>
      <w:r>
        <w:br/>
      </w:r>
      <w:r>
        <w:br/>
      </w:r>
      <w:r>
        <w:br/>
      </w:r>
    </w:p>
    <w:p>
      <w:pPr>
        <w:pStyle w:val="null3"/>
        <w:jc w:val="center"/>
        <w:outlineLvl w:val="2"/>
      </w:pPr>
      <w:r>
        <w:rPr>
          <w:rFonts w:ascii="仿宋_GB2312" w:hAnsi="仿宋_GB2312" w:cs="仿宋_GB2312" w:eastAsia="仿宋_GB2312"/>
          <w:sz w:val="28"/>
          <w:b/>
        </w:rPr>
        <w:t>铜川市城市管理执法局新耀分局</w:t>
      </w:r>
    </w:p>
    <w:p>
      <w:pPr>
        <w:pStyle w:val="null3"/>
        <w:jc w:val="center"/>
        <w:outlineLvl w:val="2"/>
      </w:pPr>
      <w:r>
        <w:rPr>
          <w:rFonts w:ascii="仿宋_GB2312" w:hAnsi="仿宋_GB2312" w:cs="仿宋_GB2312" w:eastAsia="仿宋_GB2312"/>
          <w:sz w:val="28"/>
          <w:b/>
        </w:rPr>
        <w:t>陕西凡华建设项目管理有限公司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陕西凡华建设项目管理有限公司</w:t>
      </w:r>
      <w:r>
        <w:rPr>
          <w:rFonts w:ascii="仿宋_GB2312" w:hAnsi="仿宋_GB2312" w:cs="仿宋_GB2312" w:eastAsia="仿宋_GB2312"/>
        </w:rPr>
        <w:t>（以下简称“代理机构”）受</w:t>
      </w:r>
      <w:r>
        <w:rPr>
          <w:rFonts w:ascii="仿宋_GB2312" w:hAnsi="仿宋_GB2312" w:cs="仿宋_GB2312" w:eastAsia="仿宋_GB2312"/>
        </w:rPr>
        <w:t>铜川市城市管理执法局新耀分局</w:t>
      </w:r>
      <w:r>
        <w:rPr>
          <w:rFonts w:ascii="仿宋_GB2312" w:hAnsi="仿宋_GB2312" w:cs="仿宋_GB2312" w:eastAsia="仿宋_GB2312"/>
        </w:rPr>
        <w:t>委托，拟对</w:t>
      </w:r>
      <w:r>
        <w:rPr>
          <w:rFonts w:ascii="仿宋_GB2312" w:hAnsi="仿宋_GB2312" w:cs="仿宋_GB2312" w:eastAsia="仿宋_GB2312"/>
        </w:rPr>
        <w:t>铜川新区城市排水设施维护服务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FHZB-2025001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铜川新区城市排水设施维护服务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铜川新区城市排水设施维护服务，1项，对铜川新区建成区城市排水设施维护、排水防涝、应急物资储备及应急抢险等服务工作（具体内容详见磋商文件）。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采购包1（铜川新区城市排水设施维护服务）：属于专门面向中小企业采购。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1、法定代表人身份证明或法定代表人授权委托书：法定代表人授权书（附法定代表人及被授权人身份证复印件）（如法定代表人直接投标只须提交法定代表人身份证明并附法人身份证复印件）；</w:t>
      </w:r>
    </w:p>
    <w:p>
      <w:pPr>
        <w:pStyle w:val="null3"/>
      </w:pPr>
      <w:r>
        <w:rPr>
          <w:rFonts w:ascii="仿宋_GB2312" w:hAnsi="仿宋_GB2312" w:cs="仿宋_GB2312" w:eastAsia="仿宋_GB2312"/>
        </w:rPr>
        <w:t>2、企业关联关系：单位负责人为同一人或者存在直接控股、管理关系的不同供应商不得同时参加本项目磋商；</w:t>
      </w:r>
    </w:p>
    <w:p>
      <w:pPr>
        <w:pStyle w:val="null3"/>
      </w:pPr>
      <w:r>
        <w:rPr>
          <w:rFonts w:ascii="仿宋_GB2312" w:hAnsi="仿宋_GB2312" w:cs="仿宋_GB2312" w:eastAsia="仿宋_GB2312"/>
        </w:rPr>
        <w:t>3、无重大违法记录：参加政府采购活动前3年内，在经营活动中没有重大违法记录（提供书面声明函）；</w:t>
      </w:r>
    </w:p>
    <w:p>
      <w:pPr>
        <w:pStyle w:val="null3"/>
      </w:pPr>
      <w:r>
        <w:rPr>
          <w:rFonts w:ascii="仿宋_GB2312" w:hAnsi="仿宋_GB2312" w:cs="仿宋_GB2312" w:eastAsia="仿宋_GB2312"/>
        </w:rPr>
        <w:t>4、营业执照等主体资格证明文件：具有独立承担民事责任的能力，提供法人或者其他组织的营业执照等证明文件，自然人参与的提供其身份证明；</w:t>
      </w:r>
    </w:p>
    <w:p>
      <w:pPr>
        <w:pStyle w:val="null3"/>
      </w:pPr>
      <w:r>
        <w:rPr>
          <w:rFonts w:ascii="仿宋_GB2312" w:hAnsi="仿宋_GB2312" w:cs="仿宋_GB2312" w:eastAsia="仿宋_GB2312"/>
        </w:rPr>
        <w:t>5、财务状况报告：提供2023或2024任一年度经审计的财务审计报告(2025年成立的公司提供成立后企业的资产负债表和利润表），或提供响应文件递交截止之日前近三个月内基本存款账户开户银行开具的资信证明；</w:t>
      </w:r>
    </w:p>
    <w:p>
      <w:pPr>
        <w:pStyle w:val="null3"/>
      </w:pPr>
      <w:r>
        <w:rPr>
          <w:rFonts w:ascii="仿宋_GB2312" w:hAnsi="仿宋_GB2312" w:cs="仿宋_GB2312" w:eastAsia="仿宋_GB2312"/>
        </w:rPr>
        <w:t>6、税收缴纳证明：提供2024年10月01日至今任意一个月的缴纳税收的证明材料,(依法免税的单位应提供相关证明材料)；</w:t>
      </w:r>
    </w:p>
    <w:p>
      <w:pPr>
        <w:pStyle w:val="null3"/>
      </w:pPr>
      <w:r>
        <w:rPr>
          <w:rFonts w:ascii="仿宋_GB2312" w:hAnsi="仿宋_GB2312" w:cs="仿宋_GB2312" w:eastAsia="仿宋_GB2312"/>
        </w:rPr>
        <w:t>7、社会保障资金缴纳证明：提供2024年10月01日至今任意一个月的依法缴纳社会保障资金的证明材料（依法不需要缴纳社会保障资金的单位应提供相关证明材料）；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8、信用查询：投标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9、履约能力：出具具备履行合同所必需的设备和专业技术能力的书面声明；</w:t>
      </w:r>
    </w:p>
    <w:p>
      <w:pPr>
        <w:pStyle w:val="null3"/>
      </w:pPr>
      <w:r>
        <w:rPr>
          <w:rFonts w:ascii="仿宋_GB2312" w:hAnsi="仿宋_GB2312" w:cs="仿宋_GB2312" w:eastAsia="仿宋_GB2312"/>
        </w:rPr>
        <w:t>10、企业资质：供应商须具备建设行政主管部门颁发的市政公用工程施工总承包三级（含三级）及以上资质并具有有效的安全生产许可证;</w:t>
      </w:r>
    </w:p>
    <w:p>
      <w:pPr>
        <w:pStyle w:val="null3"/>
      </w:pPr>
      <w:r>
        <w:rPr>
          <w:rFonts w:ascii="仿宋_GB2312" w:hAnsi="仿宋_GB2312" w:cs="仿宋_GB2312" w:eastAsia="仿宋_GB2312"/>
        </w:rPr>
        <w:t>11、项目经理：拟派项目经理须具备市政公用工程专业二级及以上（含二级）注册建造师证书，具备有效的安全生产考核合格证书（B证），在本单位注册且未担任其他在建工程项目的项目经理（提供无在建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铜川市城市管理执法局新耀分局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铜川市新区长虹路9号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13509196383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陕西凡华建设项目管理有限公司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陕西省西安市雁塔区朱雀大街南段6号紫郡长安小区7栋1单元28层07号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13609113875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采购包1：1,249,907.00元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关于招标代理服务收费有关问题的通知》（发改办价格【2003】857号）文件规定的标准计算出的招标代理服务费在该基础上下浮5%收取。可以采取现金、支票、银行汇票、电汇、网银等方式，中标/成交供应商在中标（成交）结果公告发布之日起5日内，向招标代理机构缴纳招标代理服务费/中标（成交）服务费。开户名称：陕西凡华建设项目管理有限公司，开户行：中国农业银行股份有限公司西安长丰园小区支行，银行账户：26110201040016041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铜川市城市管理执法局新耀分局</w:t>
      </w:r>
      <w:r>
        <w:rPr>
          <w:rFonts w:ascii="仿宋_GB2312" w:hAnsi="仿宋_GB2312" w:cs="仿宋_GB2312" w:eastAsia="仿宋_GB2312"/>
        </w:rPr>
        <w:t>和</w:t>
      </w:r>
      <w:r>
        <w:rPr>
          <w:rFonts w:ascii="仿宋_GB2312" w:hAnsi="仿宋_GB2312" w:cs="仿宋_GB2312" w:eastAsia="仿宋_GB2312"/>
        </w:rPr>
        <w:t>陕西凡华建设项目管理有限公司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铜川市城市管理执法局新耀分局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陕西凡华建设项目管理有限公司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铜川市城市管理执法局新耀分局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陕西凡华建设项目管理有限公司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自行验收；2）是否邀请本项目的其他供应商：否；3）是否邀请专家：否；4）是否邀请服务对象：是；5）是否邀请第三方检测机构：否；6）履约验收程序：分段/分期验收；7）履约验收时间：供应商提出验收申请之日起2日内组织验收；8）履约验收标准：采购人将根据中标供应商实际工作内容及成果进行考核验收，中标供应商所提供的服务内容和质量需满足磋商文件中提出的基本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联系人：朱工</w:t>
      </w:r>
    </w:p>
    <w:p>
      <w:pPr>
        <w:pStyle w:val="null3"/>
      </w:pPr>
      <w:r>
        <w:rPr>
          <w:rFonts w:ascii="仿宋_GB2312" w:hAnsi="仿宋_GB2312" w:cs="仿宋_GB2312" w:eastAsia="仿宋_GB2312"/>
        </w:rPr>
        <w:t>联系电话：13609113875</w:t>
      </w:r>
    </w:p>
    <w:p>
      <w:pPr>
        <w:pStyle w:val="null3"/>
      </w:pPr>
      <w:r>
        <w:rPr>
          <w:rFonts w:ascii="仿宋_GB2312" w:hAnsi="仿宋_GB2312" w:cs="仿宋_GB2312" w:eastAsia="仿宋_GB2312"/>
        </w:rPr>
        <w:t>地址：陕西省西安市雁塔区朱雀大街南段6号紫郡长安小区7栋1单元28层07号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铜川新区城市排水设施维护服务，1项，对铜川新区建成区城市排水设施维护、排水防涝、应急物资储备及应急抢险等服务工作（具体内容详见磋商文件）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1,249,907.00</w:t>
      </w:r>
    </w:p>
    <w:p>
      <w:pPr>
        <w:pStyle w:val="null3"/>
      </w:pPr>
      <w:r>
        <w:rPr>
          <w:rFonts w:ascii="仿宋_GB2312" w:hAnsi="仿宋_GB2312" w:cs="仿宋_GB2312" w:eastAsia="仿宋_GB2312"/>
        </w:rPr>
        <w:t>采购包最高限价（元）: 1,249,907.00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铜川新区城市排水设施维护服务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1,249,907.00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标的名称：铜川新区城市排水设施维护服务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一、采购内容：</w:t>
            </w:r>
          </w:p>
          <w:p>
            <w:pPr>
              <w:pStyle w:val="null3"/>
              <w:ind w:firstLine="240"/>
              <w:jc w:val="both"/>
            </w:pPr>
            <w:r>
              <w:rPr>
                <w:rFonts w:ascii="仿宋_GB2312" w:hAnsi="仿宋_GB2312" w:cs="仿宋_GB2312" w:eastAsia="仿宋_GB2312"/>
                <w:sz w:val="24"/>
              </w:rPr>
              <w:t>本次实施内容为在新区范围内包括市政设施维护及内涝、防汛物资储备以及汛期的应急抢险等工作。要求如下:</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、对排水设施进行日常检查与维护，包括:103.78km雨水管网，93.03km污水管网，1359座雨水检查井，1477座污水检查井，3453个雨水篦子，10座化粪池及明沟等与排水系统联通的水体等日常巡查工作，发现问题及时更换;</w:t>
            </w:r>
            <w:r>
              <w:rPr>
                <w:rFonts w:ascii="仿宋_GB2312" w:hAnsi="仿宋_GB2312" w:cs="仿宋_GB2312" w:eastAsia="仿宋_GB2312"/>
                <w:sz w:val="24"/>
              </w:rPr>
              <w:t>做到井盖无缺失、破损，井盖、雨水篦子及时维修更换，确保城市排水设施完好率达98%以上。</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、开展排水管网堵点的打通、清理及疏通工作，加大巡查检查力度，防止污水外溢; 雨污水管网日常疏通冲洗：对雨污水管网定期巡视检测，对堵塞不畅管网进行及时疏通和定期冲洗，做到排水管网畅通无外溢。</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、承担新区排水检查井、雨水篦子、防坠网等排水设施的日常检查，发现问题及时更换，对破损缺失井盖、雨水篦子等设施，做到及时更换并清理垃圾，确保市民脚下安全。</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、做好防汛排涝设备，包括龙吸水、抽水泵、疏通车等日常维护管理，并储备好防水排涝物资；</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、负责防汛应急抢险工作，具体为汛前疏通管网，汛中加强巡查频次，迅速处置城市内涝险情，汛后全方位复查，及时排查处置各类安全隐患，排除险情。</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、雨水收集口清掏：及时对辖区内3453座雨水收集口进行清掏维护、清理外运垃圾，对堵塞的支管及时疏通，确保雨后无积水。</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、化粪池稀释、清理、维护：对辖区内10座化粪池，根据实际情况，进行及时清理清掏，注水释放沼气，防止易燃气体超标，消除安全隐患，及时清运、打捞化粪池内垃圾。</w:t>
            </w:r>
          </w:p>
          <w:p>
            <w:pPr>
              <w:pStyle w:val="null3"/>
              <w:jc w:val="both"/>
            </w:pPr>
            <w:r>
              <w:rPr>
                <w:rFonts w:ascii="仿宋_GB2312" w:hAnsi="仿宋_GB2312" w:cs="仿宋_GB2312" w:eastAsia="仿宋_GB2312"/>
                <w:sz w:val="24"/>
              </w:rPr>
              <w:t>二、质量标准：应符合国家、行业、地方规定的质量和安全标准要求，并满足采购人要求。</w:t>
            </w:r>
          </w:p>
          <w:p>
            <w:pPr>
              <w:pStyle w:val="null3"/>
              <w:jc w:val="both"/>
            </w:pPr>
            <w:r>
              <w:rPr>
                <w:rFonts w:ascii="仿宋_GB2312" w:hAnsi="仿宋_GB2312" w:cs="仿宋_GB2312" w:eastAsia="仿宋_GB2312"/>
                <w:sz w:val="24"/>
              </w:rPr>
              <w:t>备注：凡涉及的相关规范，国家有最新标准的以最新标准为准。</w:t>
            </w:r>
          </w:p>
          <w:p>
            <w:pPr>
              <w:pStyle w:val="null3"/>
              <w:jc w:val="both"/>
            </w:pPr>
            <w:r>
              <w:rPr>
                <w:rFonts w:ascii="仿宋_GB2312" w:hAnsi="仿宋_GB2312" w:cs="仿宋_GB2312" w:eastAsia="仿宋_GB2312"/>
                <w:sz w:val="24"/>
              </w:rPr>
              <w:t>三、安全目标：杜绝因施工造成的人员死亡及重伤事故，无机械设备、火灾、重大器材设备被盗等重大安全事故。</w:t>
            </w:r>
          </w:p>
          <w:p>
            <w:pPr>
              <w:pStyle w:val="null3"/>
              <w:jc w:val="both"/>
            </w:pPr>
            <w:r>
              <w:rPr>
                <w:rFonts w:ascii="仿宋_GB2312" w:hAnsi="仿宋_GB2312" w:cs="仿宋_GB2312" w:eastAsia="仿宋_GB2312"/>
                <w:sz w:val="24"/>
              </w:rPr>
              <w:t>四、中标供应商管理要求：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中标供应商应具有良好的企业管理制度，内控措施、档案管理制度，用工应符合劳动法规定，切实维护劳动者权益。明确工资支付流程及周期，实行“月结月清”，不得以任何理由拖欠用工人员工资，项目实施过程中因用工问题发生的一切纠纷均应由中标供应商自行负责。</w:t>
            </w:r>
          </w:p>
          <w:p>
            <w:pPr>
              <w:pStyle w:val="null3"/>
            </w:pPr>
            <w:r>
              <w:rPr>
                <w:rFonts w:ascii="仿宋_GB2312" w:hAnsi="仿宋_GB2312" w:cs="仿宋_GB2312" w:eastAsia="仿宋_GB2312"/>
                <w:sz w:val="24"/>
              </w:rPr>
              <w:t>2</w:t>
            </w:r>
            <w:r>
              <w:rPr>
                <w:rFonts w:ascii="仿宋_GB2312" w:hAnsi="仿宋_GB2312" w:cs="仿宋_GB2312" w:eastAsia="仿宋_GB2312"/>
                <w:sz w:val="24"/>
              </w:rPr>
              <w:t>、针对本项目，设置专门的项目部负责项目整体工作的协调管理，并管理好拟派往本项目的劳务人员。以上所有拟派人员需身体健康，无传染病，能胜任本职工作，具有完成本项目的能力。中标后人员数量应按照投标时承诺的作业人数配置到位。</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、做好安全教育与安全管理，对针对本项目的所派出的所有员工安全生产负全责，并做好维稳工作。</w:t>
            </w:r>
          </w:p>
          <w:p>
            <w:pPr>
              <w:pStyle w:val="null3"/>
            </w:pPr>
            <w:r>
              <w:rPr>
                <w:rFonts w:ascii="仿宋_GB2312" w:hAnsi="仿宋_GB2312" w:cs="仿宋_GB2312" w:eastAsia="仿宋_GB2312"/>
                <w:sz w:val="24"/>
              </w:rPr>
              <w:t>4</w:t>
            </w:r>
            <w:r>
              <w:rPr>
                <w:rFonts w:ascii="仿宋_GB2312" w:hAnsi="仿宋_GB2312" w:cs="仿宋_GB2312" w:eastAsia="仿宋_GB2312"/>
                <w:sz w:val="24"/>
              </w:rPr>
              <w:t>、供应商负责协调周边关系。遇到重大事件或突发事件，应有应对预案，并配合主管部门的指挥，完成项目相关工作。</w:t>
            </w:r>
          </w:p>
          <w:p>
            <w:pPr>
              <w:pStyle w:val="null3"/>
              <w:jc w:val="both"/>
            </w:pPr>
            <w:r>
              <w:rPr>
                <w:rFonts w:ascii="仿宋_GB2312" w:hAnsi="仿宋_GB2312" w:cs="仿宋_GB2312" w:eastAsia="仿宋_GB2312"/>
                <w:sz w:val="24"/>
              </w:rPr>
              <w:t>注：中标供应商应保证本次投标报价中服务期内派驻本项目服务团队的每位员工的最低工资标准不低于本地区最低标准；工作时间符合劳动法的规定。中标供应商应自行为员工办理必须的保险，有关人员伤亡及第三者责任险均需由投标人承担并包含在报价中。（中标供应商在项目实施过程中因其自身原因所造成的任何损失、过错及费用均由供应商负责）。</w:t>
            </w:r>
          </w:p>
          <w:p>
            <w:pPr>
              <w:pStyle w:val="null3"/>
              <w:jc w:val="both"/>
            </w:pPr>
            <w:r>
              <w:rPr>
                <w:rFonts w:ascii="仿宋_GB2312" w:hAnsi="仿宋_GB2312" w:cs="仿宋_GB2312" w:eastAsia="仿宋_GB2312"/>
                <w:sz w:val="24"/>
              </w:rPr>
              <w:t>以上所有内容的价格均包含在投标报价中，采购人不另行支付。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质量保修范围和保修期：供应商提供服务应符合国家、行业、地方规定的质量和安全标准要求，并满足采购人要求。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采购人将根据中标供应商实际工作内容及成果进行考核验收，中标供应商所提供的服务内容和质量需满足磋商文件中提出的基本要求。二、验收依据：（1）合同文本及合同补充文件（条款）。（2）磋商文件。（3）响应文件。（4）考核表等质量验收标准。三、验收方法：采购人将每月初对上个月中标供应商的实际工作内容及工作成果进行考核验收，年终汇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根据考核结果按月支付费用（下月支付上月费用）。该费用经采购人、中标人共同审核通过后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的，采购人有权终止合同，并对中标供应商违约行为进行追究及索赔，同时按《中华人民共和国政府采购法》及实施条例的有关规定进行处罚。（未尽事宜双方合同签订时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1.落实的政府采购政策:（1）《政府采购促进中小企业发展管理办法》（财库〔2020〕46号）；（2）财政部 司法部关于政府采购支持监狱企业发展有关问题的通知--财库〔2014〕68号；（3）《国务院办公厅关于建立政府强制采购节能产品制度的通知》--国办发〔2007〕51号；(4)《节能产品政府采购实施意见》--（财库[2004]185号）；(5)《环境标志产品政府采购实施的意见》--财库[2006]90号；(6)《财政部民政部中国残疾人联合会关于促进残疾人就业政府采购政策的通知》--财库[2017]141号；(7)《关于调整优化节能产品、环境标志产品政府采购执行机制的通知》（财库〔2019〕9号）； (8)《财政部农业农村部国家乡村振兴局关于运用政府采购政策支持乡村产业振兴的通知》（财库〔2021〕19号）；（9）陕西省财政厅关于印发《陕西省中小企业政府采购信用融资办法》（陕财办采〔2018〕23号）；（10）《陕西省财政厅关于加快推进我省中小企业政府采购信用融资工作的通知》（陕财办采〔2020〕15号）；（11） 《关于进一步加大政府采购支持中小企业力度的通知》（财库〔2022〕19号）；（12） 其他需要落实的政府采购政策。 (如有最新颁布的政府采购政策，按最新的文件执行。如需享受相关政策需提供相关证明材料）。2.本项目专门面向中小企业采购，参加政府采购活动的中小微企业应当提供《中小企业声明函》。依照&lt;财政部、司法部关于政府采购支持监狱企业发展有关问题的通知&gt;（财库〔2014〕68号）之规定，在政府采购活动时，监狱企业视同小型、微型企业，供应商为监狱企业的，应当提供由省级以上监狱管理局、戒毒管理局（含新疆生产建设兵团）出具的属于监狱企业的证明文件。残疾人福利性单位视同小型、微型企业，符合条件的残疾人福利性单位在参加政府采购活动时，应当提供《财政部、民政部、中国残疾人联合会关于促进残疾人就业政府采购政策的通知》（财库〔2017〕141号）规定的《残疾人福利性单位声明函》。以上未提供相应证明或提供不符合要求的，在评审时不享受政府采购优惠政策。3.按《工业和信息化部、国家统计局、国家发展和改革委员会、财政部关于印发&lt;中小企业划型标准规定&gt;的通知》（工信部联企业【2011】300 号）文件规定，其他未列明行业：从业人员300人以下的为中小微型企业。其中，从业人员100人及以上的为中型企业;从业人员10人及以上的为小型企业;从业人员10人以下的为微型企业。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或2024任一年度经审计的财务审计报告(2025年成立的公司提供成立后企业的资产负债表和利润表），或提供响应文件递交截止之日前近三个月内基本存款账户开户银行开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法定代表人授权书（附法定代表人及被授权人身份证复印件）（如法定代表人直接投标只须提交法定代表人身份证明并附法人身份证复印件）；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单位负责人为同一人或者存在直接控股、管理关系的不同供应商不得同时参加本项目磋商；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提供2023或2024任一年度经审计的财务审计报告(2025年成立的公司提供成立后企业的资产负债表和利润表），或提供响应文件递交截止之日前近三个月内基本存款账户开户银行开具的资信证明；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提供2024年10月01日至今任意一个月的缴纳税收的证明材料,(依法免税的单位应提供相关证明材料)；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提供2024年10月01日至今任意一个月的依法缴纳社会保障资金的证明材料（依法不需要缴纳社会保障资金的单位应提供相关证明材料）；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拟派项目经理须具备市政公用工程专业二级及以上（含二级）注册建造师证书，具备有效的安全生产考核合格证书（B证），在本单位注册且未担任其他在建工程项目的项目经理（提供无在建承诺）。</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有效性及响应性评审</w:t>
            </w:r>
          </w:p>
        </w:tc>
        <w:tc>
          <w:tcPr>
            <w:tcW w:type="dxa" w:w="3322"/>
          </w:tcPr>
          <w:p>
            <w:pPr>
              <w:pStyle w:val="null3"/>
            </w:pPr>
            <w:r>
              <w:rPr>
                <w:rFonts w:ascii="仿宋_GB2312" w:hAnsi="仿宋_GB2312" w:cs="仿宋_GB2312" w:eastAsia="仿宋_GB2312"/>
              </w:rPr>
              <w:t>（1）响应文件的签署盖章及格式：磋商文件要求必须响应的内容齐全，有格式要求的按要求提供；供应商名称需与公章名称一致，要求签字或盖章的，按文件规定签字或盖章齐全；（2）报价唯一：只能有一个有效报价，不得提交选择性报价，且报价不超过采购预算和最高限价；（3）服务期限、服务地点： 应满足磋商文件的要求；（4）响应有效期：应满足磋商文件中的规定；（5）其他：不能有任何采购人不能接受的附加条件。</w:t>
            </w:r>
          </w:p>
        </w:tc>
        <w:tc>
          <w:tcPr>
            <w:tcW w:type="dxa" w:w="1661"/>
          </w:tcPr>
          <w:p>
            <w:pPr>
              <w:pStyle w:val="null3"/>
            </w:pPr>
            <w:r>
              <w:rPr>
                <w:rFonts w:ascii="仿宋_GB2312" w:hAnsi="仿宋_GB2312" w:cs="仿宋_GB2312" w:eastAsia="仿宋_GB2312"/>
              </w:rPr>
              <w:t>响应文件封面 服务内容及服务邀请应答表 拒绝政府采购领域商业贿赂承诺书.docx 商务应答表 分项报价明细表.docx 服务方案 标的清单 供应商资格证明文件.docx 响应函 针对本项目拟委任人员及投入机械、设备.docx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企业管理</w:t>
            </w:r>
          </w:p>
        </w:tc>
        <w:tc>
          <w:tcPr>
            <w:tcW w:type="dxa" w:w="2492"/>
          </w:tcPr>
          <w:p>
            <w:pPr>
              <w:pStyle w:val="null3"/>
            </w:pPr>
            <w:r>
              <w:rPr>
                <w:rFonts w:ascii="仿宋_GB2312" w:hAnsi="仿宋_GB2312" w:cs="仿宋_GB2312" w:eastAsia="仿宋_GB2312"/>
              </w:rPr>
              <w:t>一、评审内容：①企业应具有良好的管理制度及措施，包括但不限于企业管理制度、人事管理制度、财务制度、合同管理及内控措施等。②明确针对本项目拟派人员工资支付流程、周期，及保障措施。③项目实施完成后验收安排及档案、资料交接。 二、评审标准：（共三项） 1）完整性：方案全面，对评审内容中的各项要求有详细描述及说明； 2）可实施性：切合本项目实际情况，内容合理，步骤清晰，可操作性强； 3）针对性：方案能够紧扣项目实际情况，内容科学合理，有利于提高服务品质、效率，符合项目实际要求。 三、赋分依据：（总分9分） ①企业应具有良好的管理制度及措施，包括但不限于企业管理制度、人事管理制度、财务制度、合同管理及内控措施等：每完全满足一项评审标准得1分，满分3分，不提供不得分； ②明确针对本项目拟派人员工资支付流程、周期，及保障措施：每完全满足一项评审标准得1分，满分3分，不提供不得分； ③项目实施完成后验收安排及档案、资料交接：每完全满足一项评审标准得1分，满分3分，不提供不得分。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项目部人员配备</w:t>
            </w:r>
          </w:p>
        </w:tc>
        <w:tc>
          <w:tcPr>
            <w:tcW w:type="dxa" w:w="2492"/>
          </w:tcPr>
          <w:p>
            <w:pPr>
              <w:pStyle w:val="null3"/>
            </w:pPr>
            <w:r>
              <w:rPr>
                <w:rFonts w:ascii="仿宋_GB2312" w:hAnsi="仿宋_GB2312" w:cs="仿宋_GB2312" w:eastAsia="仿宋_GB2312"/>
              </w:rPr>
              <w:t>一、评审内容：①团队组织人员配置明细；②团队人员管理制度；③各专业种类、岗位配置；④配置人员资格、职称及工作经验等。 二、评审标准：（共三项） 1）完整性：方案全面，对评审内容中的各项要求有详细描述及说明； 2）可实施性：切合本项目实际情况，内容合理，步骤清晰，可操作性强； 3）针对性：方案能够紧扣项目实际情况，内容科学合理，有利于提高服务品质、效率，符合项目实际要求。 三、赋分依据：（总分12分） ①团队组织人员配置明细：每完全满足一项评审标准得1分，满分3分，不提供不得分。 ②团队人员管理制度：每完全满足一项评审标准得1分，满分3分，不提供不得分。 ③各专业种类、岗位配置：每完全满足一项评审标准得1分，满分3分，不提供不得分。 ④配置人员资格、职称及工作经验等; 每完全满足一项评审标准得1分，满分3分，不提供不得分。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针对本项目拟委任人员及投入机械、设备.docx</w:t>
            </w:r>
          </w:p>
        </w:tc>
      </w:tr>
      <w:tr>
        <w:tc>
          <w:tcPr>
            <w:tcW w:type="dxa" w:w="831"/>
            <w:vMerge/>
          </w:tcPr>
          <w:p/>
        </w:tc>
        <w:tc>
          <w:tcPr>
            <w:tcW w:type="dxa" w:w="1661"/>
          </w:tcPr>
          <w:p>
            <w:pPr>
              <w:pStyle w:val="null3"/>
            </w:pPr>
            <w:r>
              <w:rPr>
                <w:rFonts w:ascii="仿宋_GB2312" w:hAnsi="仿宋_GB2312" w:cs="仿宋_GB2312" w:eastAsia="仿宋_GB2312"/>
              </w:rPr>
              <w:t>劳务人员安排</w:t>
            </w:r>
          </w:p>
        </w:tc>
        <w:tc>
          <w:tcPr>
            <w:tcW w:type="dxa" w:w="2492"/>
          </w:tcPr>
          <w:p>
            <w:pPr>
              <w:pStyle w:val="null3"/>
            </w:pPr>
            <w:r>
              <w:rPr>
                <w:rFonts w:ascii="仿宋_GB2312" w:hAnsi="仿宋_GB2312" w:cs="仿宋_GB2312" w:eastAsia="仿宋_GB2312"/>
              </w:rPr>
              <w:t>一、评审内容：①劳动力组织管理制度；②劳动力配置及各工种人员搭配计划；③劳动力保证措施。 二、评审标准：（共三项） 1）完整性：方案全面，对评审内容中的各项要求有详细描述及说明； 2）可实施性：切合本项目实际情况，内容合理，步骤清晰，可操作性强； 3）针对性：方案能够紧扣项目实际情况，内容科学合理，有利于提高服务品质、效率，符合项目实际要求。 三、赋分依据：（总分9分） ①劳动力组织管理制度：每完全满足一项评审标准得1分，满分3分，不提供不得分。 ②劳动力配置及各工种人员搭配计划：每完全满足一项评审标准得1分，满分3分，不提供不得分。 ③劳动力保证措施：每完全满足一项评审标准得1分，满分3分，不提供不得分。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拟投入机械、设备</w:t>
            </w:r>
          </w:p>
        </w:tc>
        <w:tc>
          <w:tcPr>
            <w:tcW w:type="dxa" w:w="2492"/>
          </w:tcPr>
          <w:p>
            <w:pPr>
              <w:pStyle w:val="null3"/>
            </w:pPr>
            <w:r>
              <w:rPr>
                <w:rFonts w:ascii="仿宋_GB2312" w:hAnsi="仿宋_GB2312" w:cs="仿宋_GB2312" w:eastAsia="仿宋_GB2312"/>
              </w:rPr>
              <w:t>一、评审内容：①拟投入机械、设备配置计划及材料投入计划；②机械、设备的维护保养和材料的贮存； ③机械、设备、材料的监督和检查等。 二、评审标准：（共三项） 1）完整性：方案全面，对评审内容中的各项要求有详细描述及说明； 2）可实施性：切合本项目实际情况，内容合理，步骤清晰，可操作性强； 3）针对性：方案能够紧扣项目实际情况，内容科学合理，有利于提高服务品质、效率，符合项目实际要求。 三、赋分依据：（总分9分） ①拟投入机械、设备配置计划及材料投入计划：每完全满足一项评审标准得1分，满分3分，不提供不得分。 ②机械、设备的维护保养和材料的贮存：每完全满足一项评审标准得1分，满分3分，不提供不得分。 ③机械、设备、材料的监督和检查等：每完全满足一项评审标准得1分，满分3分，不提供不得分。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针对本项目拟委任人员及投入机械、设备.docx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一、评审内容：①根据项目概况，制定具体的市政设施、排水设施、化粪池的检查、清理、疏通与维护方案，明确工作方法。②制定防汛排涝、应急抢险方案，明确工作方法； 二、评审标准：（共三项） 1）完整性：方案全面，对评审内容中的各项要求有详细描述及说明； 2）可实施性：切合本项目实际情况，内容合理，步骤清晰，可操作性强； 3）针对性：方案能够紧扣项目实际情况，内容科学合理，有利于提高服务品质、效率，符合项目实际要求。 三、赋分依据：（总分18分） ①根据项目概况，制定具体的市政设施、排水设施、化粪池的检查、清理、疏通与维护方案，明确工作方法：每完全满足一项评审标准得3分，满分9分，不提供不得分。 ②制定防汛排涝、应急抢险方案，明确工作方法：每完全满足一项评审标准得3分，满分9分，不提供不得分。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针对本项目拟委任人员及投入机械、设备.docx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进度计划及进度保证措施</w:t>
            </w:r>
          </w:p>
        </w:tc>
        <w:tc>
          <w:tcPr>
            <w:tcW w:type="dxa" w:w="2492"/>
          </w:tcPr>
          <w:p>
            <w:pPr>
              <w:pStyle w:val="null3"/>
            </w:pPr>
            <w:r>
              <w:rPr>
                <w:rFonts w:ascii="仿宋_GB2312" w:hAnsi="仿宋_GB2312" w:cs="仿宋_GB2312" w:eastAsia="仿宋_GB2312"/>
              </w:rPr>
              <w:t>一、评审内容：①明确进度安排计划；②进度保证措施。 二、评审标准：（共三项） 1）完整性：方案全面，对评审内容中的各项要求有详细描述及说明； 2）可实施性：切合本项目实际情况，内容合理，步骤清晰，可操作性强； 3）针对性：方案能够紧扣项目实际情况，内容科学合理，有利于提高服务品质、效率，符合项目实际要求。 三、赋分依据：（总分6分） ①明确进度安排计划：每完全满足一项评审标准得1分，满分3分，不提供不得分。 ②进度保证措施：每完全满足一项评审标准得1分，满分3分，不提供不得分。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一、评审内容：①企业应有明确的安全目标及安全生产管理制度；②配置安全组织机构；③安全隐患排查、整改及安全保障措施等。 二、评审标准：（共三项） 1）完整性：方案全面，对评审内容中的各项要求有详细描述及说明； 2）可实施性：切合本项目实际情况，内容合理，步骤清晰，可操作性强； 3）针对性：方案能够紧扣项目实际情况，内容科学合理，有利于提高服务品质、效率，符合项目实际要求。 三、赋分依据：（总分9分） ①企业应有明确的安全目标及安全生产管理制度：每完全满足一项评审标准得1分，满分3分，不提供不得分。 ②配置安全组织机构：每完全满足一项评审标准得1分，满分3分，不提供不得分。 ③安全隐患排查、整改及安全保障措施等：每完全满足一项评审标准得1分，满分3分，不提供不得分。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一、评审内容：①文明施工及环境保护管理制度；②文明施工及环境保护措施及施工监督检查机制等。 二、评审标准：（共三项） 1）完整性：方案全面，对评审内容中的各项要求有详细描述及说明； 2）可实施性：切合本项目实际情况，内容合理，步骤清晰，可操作性强； 3）针对性：方案能够紧扣项目实际情况，内容科学合理，有利于提高服务品质、效率，符合项目实际要求。 三、赋分依据：（总分6分） ①文明施工及环境保护管理制度：每完全满足一项评审标准得1分，满分3分，不提供不得分。 ②文明施工及环境保护措施及施工监督检查机制等：每完全满足一项评审标准得1分，满分3分，不提供不得分。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一、评审内容：包括①应急管理机制、对各种可能发生的特殊或突发状况的分析及预判；②针对各种特殊或突发状况相应的解决方案及对各种突发情况造成的实际损害的补救、应对措施。 二、评审标准：（共三项） 1）完整性：方案全面，对评审内容中的各项要求有详细描述及说明； 2）可实施性：切合本项目实际情况内容合理，步骤清晰，可操作性强； 3）针对性：方案能够紧扣本项目实际情况，内容科学合理，符合项目实际要求。 三、评审内容赋分标准：（总分6分） ①应急管理机制、对各种可能发生的特殊或突发状况的分析及预判：每完全满足一项评审标准得1分，本条共3分。不提供不得分。 ②针对各种特殊或突发状况相应的解决方案及对各种突发情况造成的实际损害的补救、应对措施：每完全满足一项评审标准得1分，本条共3分。不提供不得分。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一、评审内容：①提供详细的售后服务方案，内容包括但不限于质量承诺、发现问题后服务响应时间、财力物力人力保证、项目追踪跟进等有利于项目质量提升的方案措施等。 二、评审标准：（共三项） 1）完整性：方案全面，对评审内容中的各项要求有详细描述及说明； 2）可实施性：切合本项目实际情况，内容合理，步骤清晰，可操作性强； 3）针对性：方案能够紧扣项目实际情况，内容科学合理，有利于提高服务品质、效率，符合项目实际要求。 三、赋分依据：（总分3分） ①提供详细的售后服务方案，内容包括但不限于质量承诺、发现问题后服务响应时间、财力物力人力保证、项目追踪跟进等有利于项目质量提升的方案措施等：每完全满足一项评审标准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企业具有2022年10月1日至今类似项目业绩，1份得1.5分，最多3分，以加盖单位公章的合同或协议复印件或扫描件为准，时间以合同或协议签订日期为准。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供应商近年完成类似项目业绩一览表.docx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价格分采用低价优先法计算，即满足磋商文件要求且最后报价最低的供应商的价格为评标基准价，其价格分为满分。 其他供应商的价格分统一按照下列公式计算： 磋商报价得分=（评标基准价/最后磋商报价）×价格权值（即10%）×100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详见附件：针对本项目拟委任人员及投入机械、设备.docx</w:t>
      </w:r>
    </w:p>
    <w:p>
      <w:pPr>
        <w:pStyle w:val="null3"/>
        <w:ind w:firstLine="960"/>
      </w:pPr>
      <w:r>
        <w:rPr>
          <w:rFonts w:ascii="仿宋_GB2312" w:hAnsi="仿宋_GB2312" w:cs="仿宋_GB2312" w:eastAsia="仿宋_GB2312"/>
        </w:rPr>
        <w:t>详见附件：供应商近年完成类似项目业绩一览表.docx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 府 采 购 合 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