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版本号：SXBH-ZFCG-2025-09720251015001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（工程类）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王益区法院审判法庭配电工程</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SXBH-ZFCG-2025-097</w:t>
      </w:r>
      <w:r>
        <w:br/>
      </w:r>
      <w:r>
        <w:br/>
      </w:r>
      <w:r>
        <w:br/>
      </w:r>
      <w:r>
        <w:br/>
      </w:r>
      <w:r>
        <w:br/>
      </w:r>
    </w:p>
    <w:p>
      <w:pPr>
        <w:pStyle w:val="null3"/>
        <w:jc w:val="center"/>
        <w:outlineLvl w:val="5"/>
      </w:pPr>
      <w:r>
        <w:rPr>
          <w:rFonts w:ascii="仿宋_GB2312" w:hAnsi="仿宋_GB2312" w:cs="仿宋_GB2312" w:eastAsia="仿宋_GB2312"/>
          <w:sz w:val="15"/>
          <w:b/>
        </w:rPr>
        <w:t>铜川市王益区人民法院</w:t>
      </w:r>
    </w:p>
    <w:p>
      <w:pPr>
        <w:pStyle w:val="null3"/>
        <w:jc w:val="center"/>
        <w:outlineLvl w:val="5"/>
      </w:pPr>
      <w:r>
        <w:rPr>
          <w:rFonts w:ascii="仿宋_GB2312" w:hAnsi="仿宋_GB2312" w:cs="仿宋_GB2312" w:eastAsia="仿宋_GB2312"/>
          <w:sz w:val="15"/>
          <w:b/>
        </w:rPr>
        <w:t>陕西北衡全项目咨询有限公司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铜川市王益区人民法院</w:t>
      </w:r>
      <w:r>
        <w:rPr>
          <w:rFonts w:ascii="仿宋_GB2312" w:hAnsi="仿宋_GB2312" w:cs="仿宋_GB2312" w:eastAsia="仿宋_GB2312"/>
        </w:rPr>
        <w:t>委托，拟对</w:t>
      </w:r>
      <w:r>
        <w:rPr>
          <w:rFonts w:ascii="仿宋_GB2312" w:hAnsi="仿宋_GB2312" w:cs="仿宋_GB2312" w:eastAsia="仿宋_GB2312"/>
        </w:rPr>
        <w:t>王益区法院审判法庭配电工程</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SXBH-ZFCG-2025-097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王益区法院审判法庭配电工程</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王益区法院审判法庭配电：更换导线、敷设电缆等。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采购包1（王益区法院审判法庭配电工程）：属于专门面向小微企业采购。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1、营业执照：提供有效存续的事业单位法人证书（备注：分支机构参与协商时，应附（法人企业）总公司出具的授权书及营业执照， 总公司及授权分公司可就本项目或此类项目在一定范围或时间内出具法人企业授权书进行转授权，已由总公司授权的，总公司取得的相关资质对分公司有效（授权仅限分公司范围内））；供应商需在项目电子化交易系统中按要求上传相应证明文件并进行电子签章。</w:t>
      </w:r>
    </w:p>
    <w:p>
      <w:pPr>
        <w:pStyle w:val="null3"/>
      </w:pPr>
      <w:r>
        <w:rPr>
          <w:rFonts w:ascii="仿宋_GB2312" w:hAnsi="仿宋_GB2312" w:cs="仿宋_GB2312" w:eastAsia="仿宋_GB2312"/>
        </w:rPr>
        <w:t>2、资质：具备电力工程施工总承包二级(含二级)或以上资质，有效的安全生产许可证;项目经理具有机电工程注册建造师二级(含二级)或以上资格证书，有效的安全生产考核合格证书(B证)，在本单位注册且无在建项目；</w:t>
      </w:r>
    </w:p>
    <w:p>
      <w:pPr>
        <w:pStyle w:val="null3"/>
      </w:pPr>
      <w:r>
        <w:rPr>
          <w:rFonts w:ascii="仿宋_GB2312" w:hAnsi="仿宋_GB2312" w:cs="仿宋_GB2312" w:eastAsia="仿宋_GB2312"/>
        </w:rPr>
        <w:t>3、具有良好的商业信誉：供应商提供中国裁判文书网无行贿犯罪行为记录的查询结果，并附具有良好的商业信誉的声明函；供应商需在项目电子化交易系统中按要求上传相应证明文件并进行电子签章。</w:t>
      </w:r>
    </w:p>
    <w:p>
      <w:pPr>
        <w:pStyle w:val="null3"/>
      </w:pPr>
      <w:r>
        <w:rPr>
          <w:rFonts w:ascii="仿宋_GB2312" w:hAnsi="仿宋_GB2312" w:cs="仿宋_GB2312" w:eastAsia="仿宋_GB2312"/>
        </w:rPr>
        <w:t>4、有依法缴纳税收的良好记录：提供协商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有依法缴纳社会保障资金的良好记录：提供协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法定代表人证明书或法定代表人授权书：法定代表人参加协商的，须提供法定代表人证明书及本人身份证复印件；法定代表人授权他人参加协商的，须提供法定代表人授权委托书及授权人身份证复印件。凡是需要法定代表人签字盖章之处，授权人均参照执行。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7、具有履行合同所必需的设备和专业技术能力：具有履行合同所必需的设备和专业技术能力（提供声明）；供应商需在项目电子化交易系统中按要求上传相应证明文件并进行电子签章。</w:t>
      </w:r>
    </w:p>
    <w:p>
      <w:pPr>
        <w:pStyle w:val="null3"/>
      </w:pPr>
      <w:r>
        <w:rPr>
          <w:rFonts w:ascii="仿宋_GB2312" w:hAnsi="仿宋_GB2312" w:cs="仿宋_GB2312" w:eastAsia="仿宋_GB2312"/>
        </w:rPr>
        <w:t>8、参加本次政府采购活动前3年内在经营活动中没有重大违法记录或被起诉：参加本次政府采购活动前3年内在经营活动中没有重大违法记录或被起诉（提供声明）供应商需在项目电子化交易系统中按要求上传相应证明文件并进行电子签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陕西省铜川市王益区红旗街27号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18791198775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17691172318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采购包1：712,476.37元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采购包1：712,476.37元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代理服务费收费标准：经甲乙双方协商代理服务费为5600.00元（大写伍仟陆佰元整），采购代理工作结束后一次付清。</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铜川市王益区人民法院</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铜川市王益区人民法院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五、“电子协商”是指通过项目电子化交易系统在线完成资格性审查小组、协商小组组建，开展资格和符合性审查、比较与评价、出具评审报告、推荐成交候选供应商等活动。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标的名称：王益区法院审判法庭配电工程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更换导线，敷设电缆；采购安装1000kVA干式变压器一台、高压柜四面、直流屏一套，设备及电缆的安装调试。具体详见工程量清单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1.对于不允许偏离的实质性要求和条件，采购人或者代理机构应当在采购文件中规定，并以醒目的方式标明。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2.除相关法律或行政法规或规章要求供应商在响应或协商阶段提供检测报告的，不得要求供应商在响应、协商阶段提供检测报告，如确实需要检测报告，可要求供应商承诺在签订合同阶段或项目实施阶段提供。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版响应文件，正本壹份、副本贰份、电子版壹份（U盘一份标明供应商名称，随正本密封）。若线上电子响应文件与纸质响应文件不一致的，以线上电子响应文件为准；若正本和副本不符，以正本为准。 2、邮寄地址：铜川市印台区惠民佳苑八号楼二楼（住房公积金隔壁玻璃门楼梯间上二楼）； 联系人：刘瑞华 ；电话：17691172318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经会计师事务所或审计机构审计的财务审计报告（包括资产负债表、现金流量表、利润表、所有者权益变动表、附注、审计机构资质证书、财务情况说明等全部内容，成立时间至提交响应文件截止时间不足一年的可提供成立后任意时段的资产负债表）或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提供有效存续的事业单位法人证书（备注：分支机构参与协商时，应附（法人企业）总公司出具的授权书及营业执照， 总公司及授权分公司可就本项目或此类项目在一定范围或时间内出具法人企业授权书进行转授权，已由总公司授权的，总公司取得的相关资质对分公司有效（授权仅限分公司范围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具备电力工程施工总承包二级(含二级)或以上资质，有效的安全生产许可证;项目经理具有机电工程注册建造师二级(含二级)或以上资格证书，有效的安全生产考核合格证书(B证)，在本单位注册且无在建项目；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供应商提供中国裁判文书网无行贿犯罪行为记录的查询结果，并附具有良好的商业信誉的声明函；供应商需在项目电子化交易系统中按要求上传相应证明文件并进行电子签章。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协商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协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参加协商的，须提供法定代表人证明书及本人身份证复印件；法定代表人授权他人参加协商的，须提供法定代表人授权委托书及授权人身份证复印件。凡是需要法定代表人签字盖章之处，授权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一、根据《中华人民共和国政府采购法》《中华人民共和国政府采购法实施条例》《政府采购非招标采购方式管理办法》《陕西省政府采购评审工作规程（修订）》等法律规章，结合采购项目特点制定本办法。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协商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2.供应商通过项目电子化交易系统在协商小组要求的合理时间内提交说明，否则无效。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协商文件的规定和要求在响应文件中指定的页面落款处加盖公章、法定代表人或被授权人签名（或盖章），其余页面逐页盖公章，否则将作为无效响应文件处理。协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已标价工程量清单 法人证明书.docx 中小企业声明函 技术服务合同条款及其他商务要求应答表 供应商应提交的相关资格证明材料 施工组织设计.docx 响应文件封面 法人授权书.docx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不得超过30日历天</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不能高于最高限价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A、供应商的报价有选择性报价或者报价重新计算后超过本项目采购预算或者最高限价的； B、供应商未经过正常渠道领取采购文件，或供应商名称与领取采购文件时登记的供应商名称不符的；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G、供应商使用虚假印章或印章无法证实为真实有效；H、报价子目出现漏项或报价与要求不符的； I、提供虚假技术性能指标。J、实质性内容不满足、未完全未响应招标要求或擅自改动采购清单的； K、响应文件的关键内容字迹模糊、无法辨认的；L、不符合法律、法规规定的其它实质性要求的。</w:t>
            </w:r>
          </w:p>
        </w:tc>
        <w:tc>
          <w:tcPr>
            <w:tcW w:type="dxa" w:w="1661"/>
          </w:tcPr>
          <w:p>
            <w:pPr>
              <w:pStyle w:val="null3"/>
            </w:pPr>
            <w:r>
              <w:rPr>
                <w:rFonts w:ascii="仿宋_GB2312" w:hAnsi="仿宋_GB2312" w:cs="仿宋_GB2312" w:eastAsia="仿宋_GB2312"/>
              </w:rPr>
              <w:t>已标价工程量清单 法人证明书.docx 中小企业声明函 技术服务合同条款及其他商务要求应答表 供应商应提交的相关资格证明材料 施工组织设计.docx 响应文件封面 法人授权书.docx 残疾人福利性单位声明函 报价函 标的清单 供应商类似项目业绩一览表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详见附件：建设工程施工合同（示范文本）仅供参考.docx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