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版本号：GZH-ZBCG-202508054.2B120251013001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铜川市应急指挥中心建设项目(二次)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GZH-ZBCG-202508054.2B1</w:t>
      </w:r>
      <w:r>
        <w:br/>
      </w:r>
      <w:r>
        <w:br/>
      </w:r>
      <w:r>
        <w:br/>
      </w:r>
    </w:p>
    <w:p>
      <w:pPr>
        <w:pStyle w:val="null3"/>
        <w:jc w:val="center"/>
        <w:outlineLvl w:val="2"/>
      </w:pPr>
      <w:r>
        <w:rPr>
          <w:rFonts w:ascii="仿宋_GB2312" w:hAnsi="仿宋_GB2312" w:cs="仿宋_GB2312" w:eastAsia="仿宋_GB2312"/>
          <w:sz w:val="28"/>
          <w:b/>
        </w:rPr>
        <w:t>铜川市应急管理局</w:t>
      </w:r>
    </w:p>
    <w:p>
      <w:pPr>
        <w:pStyle w:val="null3"/>
        <w:jc w:val="center"/>
        <w:outlineLvl w:val="2"/>
      </w:pPr>
      <w:r>
        <w:rPr>
          <w:rFonts w:ascii="仿宋_GB2312" w:hAnsi="仿宋_GB2312" w:cs="仿宋_GB2312" w:eastAsia="仿宋_GB2312"/>
          <w:sz w:val="28"/>
          <w:b/>
        </w:rPr>
        <w:t>陕西国中恒工程项目管理有限公司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陕西国中恒工程项目管理有限公司</w:t>
      </w:r>
      <w:r>
        <w:rPr>
          <w:rFonts w:ascii="仿宋_GB2312" w:hAnsi="仿宋_GB2312" w:cs="仿宋_GB2312" w:eastAsia="仿宋_GB2312"/>
        </w:rPr>
        <w:t>（以下简称“代理机构”）受</w:t>
      </w:r>
      <w:r>
        <w:rPr>
          <w:rFonts w:ascii="仿宋_GB2312" w:hAnsi="仿宋_GB2312" w:cs="仿宋_GB2312" w:eastAsia="仿宋_GB2312"/>
        </w:rPr>
        <w:t>铜川市应急管理局</w:t>
      </w:r>
      <w:r>
        <w:rPr>
          <w:rFonts w:ascii="仿宋_GB2312" w:hAnsi="仿宋_GB2312" w:cs="仿宋_GB2312" w:eastAsia="仿宋_GB2312"/>
        </w:rPr>
        <w:t>委托，拟对</w:t>
      </w:r>
      <w:r>
        <w:rPr>
          <w:rFonts w:ascii="仿宋_GB2312" w:hAnsi="仿宋_GB2312" w:cs="仿宋_GB2312" w:eastAsia="仿宋_GB2312"/>
        </w:rPr>
        <w:t>铜川市应急指挥中心建设项目(二次)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GZH-ZBCG-202508054.2B1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铜川市应急指挥中心建设项目(二次)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拟为铜川市应急指挥中心建设项目购置一批办公家具。</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采购包1（铜川市应急指挥中心建设项目办公家具采购）：属于专门面向中小企业采购。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经营资格：供应商具有独立承担民事责任能力的法人、其他组织或自然人。企业法人或其他组织应在中华人民共和国境内注册，依法取得并有效存续的营业执照（含电子营业执照）\事业单位法人证书\民办非企业单位登记证书非企业专业服务机构执业许可证\其他合法登记证明文件等；自然人应提供身份证。</w:t>
      </w:r>
    </w:p>
    <w:p>
      <w:pPr>
        <w:pStyle w:val="null3"/>
      </w:pPr>
      <w:r>
        <w:rPr>
          <w:rFonts w:ascii="仿宋_GB2312" w:hAnsi="仿宋_GB2312" w:cs="仿宋_GB2312" w:eastAsia="仿宋_GB2312"/>
        </w:rPr>
        <w:t>2、财务状况报告：①可提供2024年度经审计的财务报告（包含审计报告和审计报告中所涉及的财务报表和报表附注），②可提供2024年度供应商完整的全套财务报表（应当包括资产负债表、利润表、现金流量表、所有者权益变动表），③可提供截至投标文件提交截止日一年内银行出具的资信证明（以上三种形式的资料提供任何一种即可）。</w:t>
      </w:r>
    </w:p>
    <w:p>
      <w:pPr>
        <w:pStyle w:val="null3"/>
      </w:pPr>
      <w:r>
        <w:rPr>
          <w:rFonts w:ascii="仿宋_GB2312" w:hAnsi="仿宋_GB2312" w:cs="仿宋_GB2312" w:eastAsia="仿宋_GB2312"/>
        </w:rPr>
        <w:t>3、税收缴纳证明：提供递交投标文件截止之日前一年内任意一个月的依法缴纳税收的相关凭据（时间以税款所属日期为准、税种须同时包含增值税或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4、社会保障资金缴纳证明：提供递交投标文件截止之日前一年内任意一个月的社会保障资金缴存单据或社保机构开具的社会保险参保缴费情况证明。依法不需要缴纳社会保障资金的供应商应提供相关证明文件。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5、书面声明：提供具有履行本合同所必需的设备和专业技术能力的书面声明。</w:t>
      </w:r>
    </w:p>
    <w:p>
      <w:pPr>
        <w:pStyle w:val="null3"/>
      </w:pPr>
      <w:r>
        <w:rPr>
          <w:rFonts w:ascii="仿宋_GB2312" w:hAnsi="仿宋_GB2312" w:cs="仿宋_GB2312" w:eastAsia="仿宋_GB2312"/>
        </w:rPr>
        <w:t>6、信用记录：提供《供应商信用记录书面声明函》，供应商参加本次政府采购活动前三年内在经营活动中没有重大违法记录：供应商未被列入“信用中国”网站记录的“严重失信主体”或“重大税收违法案件当事人”名单：未被列入“中国执行信息公开网”记录的“失信被执行人”名单；不处于“中国政府采购网”记录的“政府采购严重违法失信行为信息记录名单”中的禁止参加政府采购活动期间。</w:t>
      </w:r>
    </w:p>
    <w:p>
      <w:pPr>
        <w:pStyle w:val="null3"/>
      </w:pPr>
      <w:r>
        <w:rPr>
          <w:rFonts w:ascii="仿宋_GB2312" w:hAnsi="仿宋_GB2312" w:cs="仿宋_GB2312" w:eastAsia="仿宋_GB2312"/>
        </w:rPr>
        <w:t>7、法定代表人（主要负责人）身份证明/授权委托书：法定代表人（主要负责人）参加投标的，须提供法定代表人（主要负责人）身份证明：法定代表人（主要负责人）授权他人参加投标的，须提供法定代表人（主要负责人）授权委托书。招标文件中凡是需要法定代表人盖章之处，非法人单位的负责人均参照执行。法人的分支机构参与投标时，除提供《法定代表人（主要负责人）授权委托书》外，还须同时提供法人给分支机构出具的授权书。</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铜川市应急管理局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陕西省铜川市新区鸿基路2号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铜川市应急管理局经办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0919-2138032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陕西国中恒工程项目管理有限公司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西安市北大街118号宏府大厦A座12F室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成璇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029-87361685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采购包1：303,868.00元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全部</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代理服务费收费标准：以中标金额为基数，参照国家计委颁发的《招标代理服务收费管理暂行办法》（计价格〔2002〕1980号）和财政部颁发的《政府采购代理机构管理暂行办法》 (财库〔2018〕2号) 的有关规定执行，经计算不足6000元，按6000元计取。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铜川市应急管理局</w:t>
      </w:r>
      <w:r>
        <w:rPr>
          <w:rFonts w:ascii="仿宋_GB2312" w:hAnsi="仿宋_GB2312" w:cs="仿宋_GB2312" w:eastAsia="仿宋_GB2312"/>
        </w:rPr>
        <w:t>和</w:t>
      </w:r>
      <w:r>
        <w:rPr>
          <w:rFonts w:ascii="仿宋_GB2312" w:hAnsi="仿宋_GB2312" w:cs="仿宋_GB2312" w:eastAsia="仿宋_GB2312"/>
        </w:rPr>
        <w:t>陕西国中恒工程项目管理有限公司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铜川市应急管理局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陕西国中恒工程项目管理有限公司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铜川市应急管理局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陕西国中恒工程项目管理有限公司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严格按照本项目招标文件、中标供应商投标文件、已签订的合同文本及国家/行业相关标准及规范等要求标准验收。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陕西国中恒工程项目管理有限公司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陕西国中恒工程项目管理有限公司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陕西国中恒工程项目管理有限公司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联系人：成璇</w:t>
      </w:r>
    </w:p>
    <w:p>
      <w:pPr>
        <w:pStyle w:val="null3"/>
      </w:pPr>
      <w:r>
        <w:rPr>
          <w:rFonts w:ascii="仿宋_GB2312" w:hAnsi="仿宋_GB2312" w:cs="仿宋_GB2312" w:eastAsia="仿宋_GB2312"/>
        </w:rPr>
        <w:t>联系电话：029-87361685</w:t>
      </w:r>
    </w:p>
    <w:p>
      <w:pPr>
        <w:pStyle w:val="null3"/>
      </w:pPr>
      <w:r>
        <w:rPr>
          <w:rFonts w:ascii="仿宋_GB2312" w:hAnsi="仿宋_GB2312" w:cs="仿宋_GB2312" w:eastAsia="仿宋_GB2312"/>
        </w:rPr>
        <w:t>地址：西安市北大街118号宏府大厦A座12F室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拟为铜川市应急指挥中心建设项目购置一批办公家具。</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303,868.00</w:t>
      </w:r>
    </w:p>
    <w:p>
      <w:pPr>
        <w:pStyle w:val="null3"/>
      </w:pPr>
      <w:r>
        <w:rPr>
          <w:rFonts w:ascii="仿宋_GB2312" w:hAnsi="仿宋_GB2312" w:cs="仿宋_GB2312" w:eastAsia="仿宋_GB2312"/>
        </w:rPr>
        <w:t>采购包最高限价（元）: 303,868.00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办公家具</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303,868.00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标的名称：办公家具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rPr>
              <w:t xml:space="preserve"> </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以下技术参数本次采购基本要求，供应商投标产品应相当于或优于该参数要求。</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、本采购包核心产品为“</w:t>
            </w:r>
            <w:r>
              <w:rPr>
                <w:rFonts w:ascii="仿宋_GB2312" w:hAnsi="仿宋_GB2312" w:cs="仿宋_GB2312" w:eastAsia="仿宋_GB2312"/>
                <w:sz w:val="20"/>
                <w:color w:val="000000"/>
              </w:rPr>
              <w:t>黑超仟皮座椅</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本次采购为固定总价包干。供应商报价时，应包含本次采购清单范围内且达到该标准的所有产品的出厂价（含辅材）、运输费、保险费、安装费、调试费、人工费、材料费、机械费使用费、管理费、利润、税金等达到使用条件的一切费用。如有漏项，应被认为包含在其他产品价格中，结算时不再调整。</w:t>
            </w:r>
          </w:p>
          <w:tbl>
            <w:tblPr>
              <w:tblBorders>
                <w:top w:val="none" w:color="000000" w:sz="4"/>
                <w:left w:val="none" w:color="000000" w:sz="4"/>
                <w:bottom w:val="none" w:color="000000" w:sz="4"/>
                <w:right w:val="none" w:color="000000" w:sz="4"/>
                <w:insideH w:val="none"/>
                <w:insideV w:val="none"/>
              </w:tblBorders>
            </w:tblPr>
            <w:tblGrid>
              <w:gridCol w:w="197"/>
              <w:gridCol w:w="229"/>
              <w:gridCol w:w="228"/>
              <w:gridCol w:w="192"/>
              <w:gridCol w:w="1706"/>
            </w:tblGrid>
            <w:tr>
              <w:tc>
                <w:tcPr>
                  <w:tcW w:type="dxa" w:w="1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2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名称</w:t>
                  </w:r>
                </w:p>
              </w:tc>
              <w:tc>
                <w:tcPr>
                  <w:tcW w:type="dxa" w:w="2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1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c>
                <w:tcPr>
                  <w:tcW w:type="dxa" w:w="17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技术规格</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演讲台</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1.尺寸：≥宽600mm×长 870×高1050</w:t>
                  </w:r>
                  <w:r>
                    <w:br/>
                  </w:r>
                  <w:r>
                    <w:rPr>
                      <w:rFonts w:ascii="仿宋_GB2312" w:hAnsi="仿宋_GB2312" w:cs="仿宋_GB2312" w:eastAsia="仿宋_GB2312"/>
                      <w:sz w:val="20"/>
                      <w:color w:val="000000"/>
                    </w:rPr>
                    <w:t>2.材质：钢木结合材料，桌面采用实木板或实木颗粒板</w:t>
                  </w:r>
                  <w:r>
                    <w:br/>
                  </w:r>
                  <w:r>
                    <w:rPr>
                      <w:rFonts w:ascii="仿宋_GB2312" w:hAnsi="仿宋_GB2312" w:cs="仿宋_GB2312" w:eastAsia="仿宋_GB2312"/>
                      <w:sz w:val="20"/>
                      <w:color w:val="000000"/>
                    </w:rPr>
                    <w:t>3.外观：桌表面应平整，色泽均匀，无明显划痕、气泡、色差等缺陷。</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会议桌</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1.尺寸：≥宽600×长1400×高750mm</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1"/>
                    </w:rPr>
                    <w:t>▲</w:t>
                  </w:r>
                  <w:r>
                    <w:rPr>
                      <w:rFonts w:ascii="仿宋_GB2312" w:hAnsi="仿宋_GB2312" w:cs="仿宋_GB2312" w:eastAsia="仿宋_GB2312"/>
                      <w:sz w:val="20"/>
                      <w:color w:val="000000"/>
                    </w:rPr>
                    <w:t>桌面：总厚度</w:t>
                  </w:r>
                  <w:r>
                    <w:rPr>
                      <w:rFonts w:ascii="仿宋_GB2312" w:hAnsi="仿宋_GB2312" w:cs="仿宋_GB2312" w:eastAsia="仿宋_GB2312"/>
                      <w:sz w:val="20"/>
                      <w:color w:val="000000"/>
                    </w:rPr>
                    <w:t>≥25mm，采用框架结构；框架采用≥90mm×45mm实木板或实木颗粒板；</w:t>
                  </w:r>
                  <w:r>
                    <w:br/>
                  </w:r>
                  <w:r>
                    <w:rPr>
                      <w:rFonts w:ascii="仿宋_GB2312" w:hAnsi="仿宋_GB2312" w:cs="仿宋_GB2312" w:eastAsia="仿宋_GB2312"/>
                      <w:sz w:val="20"/>
                      <w:color w:val="000000"/>
                    </w:rPr>
                    <w:t>3.</w:t>
                  </w:r>
                  <w:r>
                    <w:rPr>
                      <w:rFonts w:ascii="仿宋_GB2312" w:hAnsi="仿宋_GB2312" w:cs="仿宋_GB2312" w:eastAsia="仿宋_GB2312"/>
                      <w:sz w:val="21"/>
                    </w:rPr>
                    <w:t>▲</w:t>
                  </w:r>
                  <w:r>
                    <w:rPr>
                      <w:rFonts w:ascii="仿宋_GB2312" w:hAnsi="仿宋_GB2312" w:cs="仿宋_GB2312" w:eastAsia="仿宋_GB2312"/>
                      <w:sz w:val="20"/>
                      <w:color w:val="000000"/>
                    </w:rPr>
                    <w:t>材料及制作工艺：桌子采用整体结构</w:t>
                  </w:r>
                  <w:r>
                    <w:rPr>
                      <w:rFonts w:ascii="仿宋_GB2312" w:hAnsi="仿宋_GB2312" w:cs="仿宋_GB2312" w:eastAsia="仿宋_GB2312"/>
                      <w:sz w:val="20"/>
                      <w:color w:val="000000"/>
                    </w:rPr>
                    <w:t>,全榫卯制作工艺；全部采用实木板或实木颗粒板，木材都经过蒸压煮、烘干、杀菌、杀虫处理，色泽均匀，纹理清晰，质地细密,无明显节疤、腐朽、虫眼，不翘曲、变形等缺陷；</w:t>
                  </w:r>
                  <w:r>
                    <w:br/>
                  </w:r>
                  <w:r>
                    <w:rPr>
                      <w:rFonts w:ascii="仿宋_GB2312" w:hAnsi="仿宋_GB2312" w:cs="仿宋_GB2312" w:eastAsia="仿宋_GB2312"/>
                      <w:sz w:val="20"/>
                      <w:color w:val="000000"/>
                    </w:rPr>
                    <w:t>4.</w:t>
                  </w:r>
                  <w:r>
                    <w:rPr>
                      <w:rFonts w:ascii="仿宋_GB2312" w:hAnsi="仿宋_GB2312" w:cs="仿宋_GB2312" w:eastAsia="仿宋_GB2312"/>
                      <w:sz w:val="21"/>
                    </w:rPr>
                    <w:t>▲</w:t>
                  </w:r>
                  <w:r>
                    <w:rPr>
                      <w:rFonts w:ascii="仿宋_GB2312" w:hAnsi="仿宋_GB2312" w:cs="仿宋_GB2312" w:eastAsia="仿宋_GB2312"/>
                      <w:sz w:val="20"/>
                      <w:color w:val="000000"/>
                    </w:rPr>
                    <w:t>油漆：采用优质环保油漆</w:t>
                  </w:r>
                  <w:r>
                    <w:rPr>
                      <w:rFonts w:ascii="仿宋_GB2312" w:hAnsi="仿宋_GB2312" w:cs="仿宋_GB2312" w:eastAsia="仿宋_GB2312"/>
                      <w:sz w:val="20"/>
                      <w:color w:val="000000"/>
                    </w:rPr>
                    <w:t>,密闭涂饰,五底三面里外无死角全喷涂工艺。符合GB18581-2020、GB/T23994-2009、H)2357-2014、HG/T3950-2007 标准，抽样基数&gt;1kg，VOC 含量&lt;10g/L，游离甲醛&lt;15mg/kg，乙二醇醚及醚酯总和含量&lt;15mg/kg，卤代烃总和含量&lt;0.01%，苯、甲苯、二甲苯、乙苯的总量&lt;50mg/kg，可溶性元素(铅、镉、铬、汞)未检出，抗菌性能(白色念珠菌)&gt;99%。</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会议条桌</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1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0"/>
                      <w:color w:val="000000"/>
                    </w:rPr>
                    <w:t>尺寸：</w:t>
                  </w:r>
                  <w:r>
                    <w:rPr>
                      <w:rFonts w:ascii="仿宋_GB2312" w:hAnsi="仿宋_GB2312" w:cs="仿宋_GB2312" w:eastAsia="仿宋_GB2312"/>
                      <w:sz w:val="20"/>
                      <w:color w:val="000000"/>
                    </w:rPr>
                    <w:t>≥宽450×长1400×高750 mm</w:t>
                  </w:r>
                </w:p>
                <w:p>
                  <w:pPr>
                    <w:pStyle w:val="null3"/>
                    <w:jc w:val="both"/>
                  </w:pPr>
                  <w:r>
                    <w:rPr>
                      <w:rFonts w:ascii="仿宋_GB2312" w:hAnsi="仿宋_GB2312" w:cs="仿宋_GB2312" w:eastAsia="仿宋_GB2312"/>
                      <w:sz w:val="20"/>
                      <w:color w:val="000000"/>
                    </w:rPr>
                    <w:t>2.</w:t>
                  </w:r>
                  <w:r>
                    <w:rPr>
                      <w:rFonts w:ascii="仿宋_GB2312" w:hAnsi="仿宋_GB2312" w:cs="仿宋_GB2312" w:eastAsia="仿宋_GB2312"/>
                      <w:sz w:val="21"/>
                    </w:rPr>
                    <w:t>▲</w:t>
                  </w:r>
                  <w:r>
                    <w:rPr>
                      <w:rFonts w:ascii="仿宋_GB2312" w:hAnsi="仿宋_GB2312" w:cs="仿宋_GB2312" w:eastAsia="仿宋_GB2312"/>
                      <w:sz w:val="20"/>
                      <w:color w:val="000000"/>
                    </w:rPr>
                    <w:t>材质：采用</w:t>
                  </w:r>
                  <w:r>
                    <w:rPr>
                      <w:rFonts w:ascii="仿宋_GB2312" w:hAnsi="仿宋_GB2312" w:cs="仿宋_GB2312" w:eastAsia="仿宋_GB2312"/>
                      <w:sz w:val="20"/>
                      <w:color w:val="000000"/>
                    </w:rPr>
                    <w:t>≥25mm厚实木板或实木颗粒板，符合国标环保等级，封边技术PUR，易清洁、耐磨、耐烟酌、抗污染，经久耐用，造型美观等特点。</w:t>
                  </w:r>
                  <w:r>
                    <w:br/>
                  </w:r>
                  <w:r>
                    <w:rPr>
                      <w:rFonts w:ascii="仿宋_GB2312" w:hAnsi="仿宋_GB2312" w:cs="仿宋_GB2312" w:eastAsia="仿宋_GB2312"/>
                      <w:sz w:val="20"/>
                      <w:color w:val="000000"/>
                    </w:rPr>
                    <w:t>3.</w:t>
                  </w:r>
                  <w:r>
                    <w:rPr>
                      <w:rFonts w:ascii="仿宋_GB2312" w:hAnsi="仿宋_GB2312" w:cs="仿宋_GB2312" w:eastAsia="仿宋_GB2312"/>
                      <w:sz w:val="21"/>
                    </w:rPr>
                    <w:t>▲</w:t>
                  </w:r>
                  <w:r>
                    <w:rPr>
                      <w:rFonts w:ascii="仿宋_GB2312" w:hAnsi="仿宋_GB2312" w:cs="仿宋_GB2312" w:eastAsia="仿宋_GB2312"/>
                      <w:sz w:val="20"/>
                      <w:color w:val="000000"/>
                    </w:rPr>
                    <w:t>油漆：采用优质环保油漆</w:t>
                  </w:r>
                  <w:r>
                    <w:rPr>
                      <w:rFonts w:ascii="仿宋_GB2312" w:hAnsi="仿宋_GB2312" w:cs="仿宋_GB2312" w:eastAsia="仿宋_GB2312"/>
                      <w:sz w:val="20"/>
                      <w:color w:val="000000"/>
                    </w:rPr>
                    <w:t>,密闭涂饰,五底三面里外无死角全喷涂工艺。符合GB18581-2020、GB/T23994-2009、H)2357-2014、HG/T3950-2007 标准，抽样基数&gt;1kg，VOC 含量&lt;10g/L，游离甲醛&lt;15mg/kg，乙二醇醚及醚酯总和含量&lt;15mg/kg，卤代烃总和含量&lt;0.01%，苯、甲苯、二甲苯、乙苯的总量&lt;50mg/kg，可溶性元素(铅、镉、铬、汞)未检出，抗菌性能(白色念珠菌)&gt;99%。</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会议桌</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1.尺寸：长方形长度≥6500毫米，宽度≥1800毫米，高度≥750毫米；</w:t>
                  </w:r>
                  <w:r>
                    <w:br/>
                  </w:r>
                  <w:r>
                    <w:rPr>
                      <w:rFonts w:ascii="仿宋_GB2312" w:hAnsi="仿宋_GB2312" w:cs="仿宋_GB2312" w:eastAsia="仿宋_GB2312"/>
                      <w:sz w:val="20"/>
                      <w:color w:val="000000"/>
                    </w:rPr>
                    <w:t>2.</w:t>
                  </w:r>
                  <w:r>
                    <w:rPr>
                      <w:rFonts w:ascii="仿宋_GB2312" w:hAnsi="仿宋_GB2312" w:cs="仿宋_GB2312" w:eastAsia="仿宋_GB2312"/>
                      <w:sz w:val="21"/>
                    </w:rPr>
                    <w:t>▲</w:t>
                  </w:r>
                  <w:r>
                    <w:rPr>
                      <w:rFonts w:ascii="仿宋_GB2312" w:hAnsi="仿宋_GB2312" w:cs="仿宋_GB2312" w:eastAsia="仿宋_GB2312"/>
                      <w:sz w:val="20"/>
                      <w:color w:val="000000"/>
                    </w:rPr>
                    <w:t>材料及制作工艺：桌子采用整体结构</w:t>
                  </w:r>
                  <w:r>
                    <w:rPr>
                      <w:rFonts w:ascii="仿宋_GB2312" w:hAnsi="仿宋_GB2312" w:cs="仿宋_GB2312" w:eastAsia="仿宋_GB2312"/>
                      <w:sz w:val="20"/>
                      <w:color w:val="000000"/>
                    </w:rPr>
                    <w:t>,全榫卯制作工艺；全部采用E1级实木颗粒板，木材都经过蒸压煮、烘干、杀菌、杀虫处理，色泽均匀，纹理清晰，质地细密,无明显节疤、腐朽、虫眼，不翘曲、变形等缺陷；</w:t>
                  </w:r>
                  <w:r>
                    <w:br/>
                  </w:r>
                  <w:r>
                    <w:rPr>
                      <w:rFonts w:ascii="仿宋_GB2312" w:hAnsi="仿宋_GB2312" w:cs="仿宋_GB2312" w:eastAsia="仿宋_GB2312"/>
                      <w:sz w:val="20"/>
                      <w:color w:val="000000"/>
                    </w:rPr>
                    <w:t>3.</w:t>
                  </w:r>
                  <w:r>
                    <w:rPr>
                      <w:rFonts w:ascii="仿宋_GB2312" w:hAnsi="仿宋_GB2312" w:cs="仿宋_GB2312" w:eastAsia="仿宋_GB2312"/>
                      <w:sz w:val="21"/>
                    </w:rPr>
                    <w:t>▲</w:t>
                  </w:r>
                  <w:r>
                    <w:rPr>
                      <w:rFonts w:ascii="仿宋_GB2312" w:hAnsi="仿宋_GB2312" w:cs="仿宋_GB2312" w:eastAsia="仿宋_GB2312"/>
                      <w:sz w:val="20"/>
                      <w:color w:val="000000"/>
                    </w:rPr>
                    <w:t>油漆：采用优质环保油漆</w:t>
                  </w:r>
                  <w:r>
                    <w:rPr>
                      <w:rFonts w:ascii="仿宋_GB2312" w:hAnsi="仿宋_GB2312" w:cs="仿宋_GB2312" w:eastAsia="仿宋_GB2312"/>
                      <w:sz w:val="20"/>
                      <w:color w:val="000000"/>
                    </w:rPr>
                    <w:t>,密闭涂饰,五底三面里外无死角全喷涂工艺。符合GB18581-2020、GB/T23994-2009、H)2357-2014、HG/T3950-2007 标准，抽样基数&gt;1kg，VOC 含量&lt;10g/L，游离甲醛&lt;15mg/kg，乙二醇醚及醚酯总和含量&lt;15mg/kg，卤代烃总和含量&lt;0.01%，苯、甲苯、二甲苯、乙苯的总量&lt;50mg/kg，可溶性元素(铅、镉、铬、汞)未检出，抗菌性能(白色念珠菌)&gt;99%；</w:t>
                  </w:r>
                  <w:r>
                    <w:br/>
                  </w:r>
                  <w:r>
                    <w:rPr>
                      <w:rFonts w:ascii="仿宋_GB2312" w:hAnsi="仿宋_GB2312" w:cs="仿宋_GB2312" w:eastAsia="仿宋_GB2312"/>
                      <w:sz w:val="20"/>
                      <w:color w:val="000000"/>
                    </w:rPr>
                    <w:t>4.</w:t>
                  </w:r>
                  <w:r>
                    <w:rPr>
                      <w:rFonts w:ascii="仿宋_GB2312" w:hAnsi="仿宋_GB2312" w:cs="仿宋_GB2312" w:eastAsia="仿宋_GB2312"/>
                      <w:sz w:val="21"/>
                    </w:rPr>
                    <w:t>▲</w:t>
                  </w:r>
                  <w:r>
                    <w:rPr>
                      <w:rFonts w:ascii="仿宋_GB2312" w:hAnsi="仿宋_GB2312" w:cs="仿宋_GB2312" w:eastAsia="仿宋_GB2312"/>
                      <w:sz w:val="20"/>
                      <w:color w:val="000000"/>
                    </w:rPr>
                    <w:t>桌面：总厚度</w:t>
                  </w:r>
                  <w:r>
                    <w:rPr>
                      <w:rFonts w:ascii="仿宋_GB2312" w:hAnsi="仿宋_GB2312" w:cs="仿宋_GB2312" w:eastAsia="仿宋_GB2312"/>
                      <w:sz w:val="20"/>
                      <w:color w:val="000000"/>
                    </w:rPr>
                    <w:t>≥ 50mm，采用框架结构，卯工艺；框架采用≥ 90mm×45mm 实木板或E1级实木颗粒板，芯材,12mm 厚；桌面框架与芯材四周交接处具有防变型伸缩缝；桌面底部均分4根25mm×25mm 开穿连加强横以防变形加强；</w:t>
                  </w:r>
                  <w:r>
                    <w:br/>
                  </w:r>
                  <w:r>
                    <w:rPr>
                      <w:rFonts w:ascii="仿宋_GB2312" w:hAnsi="仿宋_GB2312" w:cs="仿宋_GB2312" w:eastAsia="仿宋_GB2312"/>
                      <w:sz w:val="20"/>
                      <w:color w:val="000000"/>
                    </w:rPr>
                    <w:t>5.五金符合 QB/T3827-1999、QB/T3832-1999标准，抽样基数&gt;20件，300h 乙酸盐雾试验(ASS)：涂(镀)层本身的耐腐蚀等级达到10级，涂(镀)层对基体的保护等级达到 10 级。</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座椅</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把</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0"/>
                      <w:color w:val="000000"/>
                    </w:rPr>
                    <w:t>框架：金属</w:t>
                  </w:r>
                  <w:r>
                    <w:br/>
                  </w:r>
                  <w:r>
                    <w:rPr>
                      <w:rFonts w:ascii="仿宋_GB2312" w:hAnsi="仿宋_GB2312" w:cs="仿宋_GB2312" w:eastAsia="仿宋_GB2312"/>
                      <w:sz w:val="21"/>
                    </w:rPr>
                    <w:t>▲</w:t>
                  </w:r>
                  <w:r>
                    <w:rPr>
                      <w:rFonts w:ascii="仿宋_GB2312" w:hAnsi="仿宋_GB2312" w:cs="仿宋_GB2312" w:eastAsia="仿宋_GB2312"/>
                      <w:sz w:val="20"/>
                      <w:color w:val="000000"/>
                    </w:rPr>
                    <w:t>饰面材质：黑牛皮</w:t>
                  </w:r>
                  <w:r>
                    <w:br/>
                  </w:r>
                  <w:r>
                    <w:rPr>
                      <w:rFonts w:ascii="仿宋_GB2312" w:hAnsi="仿宋_GB2312" w:cs="仿宋_GB2312" w:eastAsia="仿宋_GB2312"/>
                      <w:sz w:val="20"/>
                      <w:color w:val="000000"/>
                    </w:rPr>
                    <w:t>扶手类型：固定不锈钢扶手</w:t>
                  </w:r>
                  <w:r>
                    <w:br/>
                  </w:r>
                  <w:r>
                    <w:rPr>
                      <w:rFonts w:ascii="仿宋_GB2312" w:hAnsi="仿宋_GB2312" w:cs="仿宋_GB2312" w:eastAsia="仿宋_GB2312"/>
                      <w:sz w:val="20"/>
                      <w:color w:val="000000"/>
                    </w:rPr>
                    <w:t>搁脚：不带搁脚</w:t>
                  </w:r>
                  <w:r>
                    <w:br/>
                  </w:r>
                  <w:r>
                    <w:rPr>
                      <w:rFonts w:ascii="仿宋_GB2312" w:hAnsi="仿宋_GB2312" w:cs="仿宋_GB2312" w:eastAsia="仿宋_GB2312"/>
                      <w:sz w:val="20"/>
                      <w:color w:val="000000"/>
                    </w:rPr>
                    <w:t>人体工学功能：有人体工学功能</w:t>
                  </w:r>
                  <w:r>
                    <w:br/>
                  </w:r>
                  <w:r>
                    <w:rPr>
                      <w:rFonts w:ascii="仿宋_GB2312" w:hAnsi="仿宋_GB2312" w:cs="仿宋_GB2312" w:eastAsia="仿宋_GB2312"/>
                      <w:sz w:val="20"/>
                      <w:color w:val="000000"/>
                    </w:rPr>
                    <w:t>旋转：不可旋转</w:t>
                  </w:r>
                  <w:r>
                    <w:br/>
                  </w:r>
                  <w:r>
                    <w:rPr>
                      <w:rFonts w:ascii="仿宋_GB2312" w:hAnsi="仿宋_GB2312" w:cs="仿宋_GB2312" w:eastAsia="仿宋_GB2312"/>
                      <w:sz w:val="20"/>
                      <w:color w:val="000000"/>
                    </w:rPr>
                    <w:t>升降：不可升降</w:t>
                  </w:r>
                  <w:r>
                    <w:br/>
                  </w:r>
                  <w:r>
                    <w:rPr>
                      <w:rFonts w:ascii="仿宋_GB2312" w:hAnsi="仿宋_GB2312" w:cs="仿宋_GB2312" w:eastAsia="仿宋_GB2312"/>
                      <w:sz w:val="20"/>
                      <w:color w:val="000000"/>
                    </w:rPr>
                    <w:t>头枕：不带</w:t>
                  </w:r>
                  <w:r>
                    <w:br/>
                  </w:r>
                  <w:r>
                    <w:rPr>
                      <w:rFonts w:ascii="仿宋_GB2312" w:hAnsi="仿宋_GB2312" w:cs="仿宋_GB2312" w:eastAsia="仿宋_GB2312"/>
                      <w:sz w:val="20"/>
                      <w:color w:val="000000"/>
                    </w:rPr>
                    <w:t>是否带滚轮：不带滚轮</w:t>
                  </w:r>
                  <w:r>
                    <w:br/>
                  </w:r>
                  <w:r>
                    <w:rPr>
                      <w:rFonts w:ascii="仿宋_GB2312" w:hAnsi="仿宋_GB2312" w:cs="仿宋_GB2312" w:eastAsia="仿宋_GB2312"/>
                      <w:sz w:val="21"/>
                    </w:rPr>
                    <w:t>▲</w:t>
                  </w:r>
                  <w:r>
                    <w:rPr>
                      <w:rFonts w:ascii="仿宋_GB2312" w:hAnsi="仿宋_GB2312" w:cs="仿宋_GB2312" w:eastAsia="仿宋_GB2312"/>
                      <w:sz w:val="20"/>
                      <w:color w:val="000000"/>
                    </w:rPr>
                    <w:t>尺寸：坐高</w:t>
                  </w:r>
                  <w:r>
                    <w:rPr>
                      <w:rFonts w:ascii="仿宋_GB2312" w:hAnsi="仿宋_GB2312" w:cs="仿宋_GB2312" w:eastAsia="仿宋_GB2312"/>
                      <w:sz w:val="20"/>
                      <w:color w:val="000000"/>
                    </w:rPr>
                    <w:t>≥380mm</w:t>
                  </w:r>
                  <w:r>
                    <w:br/>
                  </w:r>
                  <w:r>
                    <w:rPr>
                      <w:rFonts w:ascii="仿宋_GB2312" w:hAnsi="仿宋_GB2312" w:cs="仿宋_GB2312" w:eastAsia="仿宋_GB2312"/>
                      <w:sz w:val="21"/>
                    </w:rPr>
                    <w:t>▲</w:t>
                  </w:r>
                  <w:r>
                    <w:rPr>
                      <w:rFonts w:ascii="仿宋_GB2312" w:hAnsi="仿宋_GB2312" w:cs="仿宋_GB2312" w:eastAsia="仿宋_GB2312"/>
                      <w:sz w:val="20"/>
                      <w:color w:val="000000"/>
                    </w:rPr>
                    <w:t>坐深：</w:t>
                  </w:r>
                  <w:r>
                    <w:rPr>
                      <w:rFonts w:ascii="仿宋_GB2312" w:hAnsi="仿宋_GB2312" w:cs="仿宋_GB2312" w:eastAsia="仿宋_GB2312"/>
                      <w:sz w:val="20"/>
                      <w:color w:val="000000"/>
                    </w:rPr>
                    <w:t>≥420mm</w:t>
                  </w:r>
                </w:p>
                <w:p>
                  <w:pPr>
                    <w:pStyle w:val="null3"/>
                    <w:jc w:val="left"/>
                  </w:pPr>
                  <w:r>
                    <w:rPr>
                      <w:rFonts w:ascii="仿宋_GB2312" w:hAnsi="仿宋_GB2312" w:cs="仿宋_GB2312" w:eastAsia="仿宋_GB2312"/>
                      <w:sz w:val="21"/>
                    </w:rPr>
                    <w:t>▲</w:t>
                  </w:r>
                  <w:r>
                    <w:rPr>
                      <w:rFonts w:ascii="仿宋_GB2312" w:hAnsi="仿宋_GB2312" w:cs="仿宋_GB2312" w:eastAsia="仿宋_GB2312"/>
                      <w:sz w:val="20"/>
                      <w:color w:val="000000"/>
                    </w:rPr>
                    <w:t>坐宽：</w:t>
                  </w:r>
                  <w:r>
                    <w:rPr>
                      <w:rFonts w:ascii="仿宋_GB2312" w:hAnsi="仿宋_GB2312" w:cs="仿宋_GB2312" w:eastAsia="仿宋_GB2312"/>
                      <w:sz w:val="20"/>
                      <w:color w:val="000000"/>
                    </w:rPr>
                    <w:t>≥360mm</w:t>
                  </w:r>
                  <w:r>
                    <w:br/>
                  </w:r>
                  <w:r>
                    <w:rPr>
                      <w:rFonts w:ascii="仿宋_GB2312" w:hAnsi="仿宋_GB2312" w:cs="仿宋_GB2312" w:eastAsia="仿宋_GB2312"/>
                      <w:sz w:val="21"/>
                    </w:rPr>
                    <w:t>▲</w:t>
                  </w:r>
                  <w:r>
                    <w:rPr>
                      <w:rFonts w:ascii="仿宋_GB2312" w:hAnsi="仿宋_GB2312" w:cs="仿宋_GB2312" w:eastAsia="仿宋_GB2312"/>
                      <w:sz w:val="20"/>
                      <w:color w:val="000000"/>
                    </w:rPr>
                    <w:t>靠背高度：</w:t>
                  </w:r>
                  <w:r>
                    <w:rPr>
                      <w:rFonts w:ascii="仿宋_GB2312" w:hAnsi="仿宋_GB2312" w:cs="仿宋_GB2312" w:eastAsia="仿宋_GB2312"/>
                      <w:sz w:val="20"/>
                      <w:color w:val="000000"/>
                    </w:rPr>
                    <w:t>≥275mm</w:t>
                  </w:r>
                </w:p>
                <w:p>
                  <w:pPr>
                    <w:pStyle w:val="null3"/>
                    <w:jc w:val="left"/>
                  </w:pPr>
                  <w:r>
                    <w:rPr>
                      <w:rFonts w:ascii="仿宋_GB2312" w:hAnsi="仿宋_GB2312" w:cs="仿宋_GB2312" w:eastAsia="仿宋_GB2312"/>
                      <w:sz w:val="21"/>
                    </w:rPr>
                    <w:t>▲</w:t>
                  </w:r>
                  <w:r>
                    <w:rPr>
                      <w:rFonts w:ascii="仿宋_GB2312" w:hAnsi="仿宋_GB2312" w:cs="仿宋_GB2312" w:eastAsia="仿宋_GB2312"/>
                      <w:sz w:val="20"/>
                      <w:color w:val="000000"/>
                    </w:rPr>
                    <w:t>扶手内宽：</w:t>
                  </w:r>
                  <w:r>
                    <w:rPr>
                      <w:rFonts w:ascii="仿宋_GB2312" w:hAnsi="仿宋_GB2312" w:cs="仿宋_GB2312" w:eastAsia="仿宋_GB2312"/>
                      <w:sz w:val="20"/>
                      <w:color w:val="000000"/>
                    </w:rPr>
                    <w:t>≥440mm</w:t>
                  </w:r>
                </w:p>
                <w:p>
                  <w:pPr>
                    <w:pStyle w:val="null3"/>
                    <w:jc w:val="left"/>
                  </w:pPr>
                  <w:r>
                    <w:rPr>
                      <w:rFonts w:ascii="仿宋_GB2312" w:hAnsi="仿宋_GB2312" w:cs="仿宋_GB2312" w:eastAsia="仿宋_GB2312"/>
                      <w:sz w:val="21"/>
                    </w:rPr>
                    <w:t>▲</w:t>
                  </w:r>
                  <w:r>
                    <w:rPr>
                      <w:rFonts w:ascii="仿宋_GB2312" w:hAnsi="仿宋_GB2312" w:cs="仿宋_GB2312" w:eastAsia="仿宋_GB2312"/>
                      <w:sz w:val="20"/>
                      <w:color w:val="000000"/>
                    </w:rPr>
                    <w:t>扶手高：</w:t>
                  </w:r>
                  <w:r>
                    <w:rPr>
                      <w:rFonts w:ascii="仿宋_GB2312" w:hAnsi="仿宋_GB2312" w:cs="仿宋_GB2312" w:eastAsia="仿宋_GB2312"/>
                      <w:sz w:val="20"/>
                      <w:color w:val="000000"/>
                    </w:rPr>
                    <w:t>≥160mm</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座椅</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把</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w:t>
                  </w:r>
                </w:p>
              </w:tc>
              <w:tc>
                <w:tcPr>
                  <w:tcW w:type="dxa" w:w="1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框架：金属</w:t>
                  </w:r>
                  <w:r>
                    <w:br/>
                  </w:r>
                  <w:r>
                    <w:rPr>
                      <w:rFonts w:ascii="仿宋_GB2312" w:hAnsi="仿宋_GB2312" w:cs="仿宋_GB2312" w:eastAsia="仿宋_GB2312"/>
                      <w:sz w:val="21"/>
                    </w:rPr>
                    <w:t>▲</w:t>
                  </w:r>
                  <w:r>
                    <w:rPr>
                      <w:rFonts w:ascii="仿宋_GB2312" w:hAnsi="仿宋_GB2312" w:cs="仿宋_GB2312" w:eastAsia="仿宋_GB2312"/>
                      <w:sz w:val="20"/>
                      <w:color w:val="000000"/>
                    </w:rPr>
                    <w:t>饰面材质：黑超仟皮</w:t>
                  </w:r>
                  <w:r>
                    <w:br/>
                  </w:r>
                  <w:r>
                    <w:rPr>
                      <w:rFonts w:ascii="仿宋_GB2312" w:hAnsi="仿宋_GB2312" w:cs="仿宋_GB2312" w:eastAsia="仿宋_GB2312"/>
                      <w:sz w:val="20"/>
                      <w:color w:val="000000"/>
                    </w:rPr>
                    <w:t>扶手类型：固定不锈钢扶手</w:t>
                  </w:r>
                  <w:r>
                    <w:br/>
                  </w:r>
                  <w:r>
                    <w:rPr>
                      <w:rFonts w:ascii="仿宋_GB2312" w:hAnsi="仿宋_GB2312" w:cs="仿宋_GB2312" w:eastAsia="仿宋_GB2312"/>
                      <w:sz w:val="20"/>
                      <w:color w:val="000000"/>
                    </w:rPr>
                    <w:t>搁脚：不带搁脚</w:t>
                  </w:r>
                  <w:r>
                    <w:br/>
                  </w:r>
                  <w:r>
                    <w:rPr>
                      <w:rFonts w:ascii="仿宋_GB2312" w:hAnsi="仿宋_GB2312" w:cs="仿宋_GB2312" w:eastAsia="仿宋_GB2312"/>
                      <w:sz w:val="21"/>
                    </w:rPr>
                    <w:t>▲</w:t>
                  </w:r>
                  <w:r>
                    <w:rPr>
                      <w:rFonts w:ascii="仿宋_GB2312" w:hAnsi="仿宋_GB2312" w:cs="仿宋_GB2312" w:eastAsia="仿宋_GB2312"/>
                      <w:sz w:val="20"/>
                      <w:color w:val="000000"/>
                    </w:rPr>
                    <w:t>人体工学功能：有人体工学功能</w:t>
                  </w:r>
                  <w:r>
                    <w:br/>
                  </w:r>
                  <w:r>
                    <w:rPr>
                      <w:rFonts w:ascii="仿宋_GB2312" w:hAnsi="仿宋_GB2312" w:cs="仿宋_GB2312" w:eastAsia="仿宋_GB2312"/>
                      <w:sz w:val="20"/>
                      <w:color w:val="000000"/>
                    </w:rPr>
                    <w:t>旋转：不可旋转</w:t>
                  </w:r>
                  <w:r>
                    <w:br/>
                  </w:r>
                  <w:r>
                    <w:rPr>
                      <w:rFonts w:ascii="仿宋_GB2312" w:hAnsi="仿宋_GB2312" w:cs="仿宋_GB2312" w:eastAsia="仿宋_GB2312"/>
                      <w:sz w:val="20"/>
                      <w:color w:val="000000"/>
                    </w:rPr>
                    <w:t>升降：不可升降</w:t>
                  </w:r>
                  <w:r>
                    <w:br/>
                  </w:r>
                  <w:r>
                    <w:rPr>
                      <w:rFonts w:ascii="仿宋_GB2312" w:hAnsi="仿宋_GB2312" w:cs="仿宋_GB2312" w:eastAsia="仿宋_GB2312"/>
                      <w:sz w:val="20"/>
                      <w:color w:val="000000"/>
                    </w:rPr>
                    <w:t>头枕：不带</w:t>
                  </w:r>
                  <w:r>
                    <w:br/>
                  </w:r>
                  <w:r>
                    <w:rPr>
                      <w:rFonts w:ascii="仿宋_GB2312" w:hAnsi="仿宋_GB2312" w:cs="仿宋_GB2312" w:eastAsia="仿宋_GB2312"/>
                      <w:sz w:val="20"/>
                      <w:color w:val="000000"/>
                    </w:rPr>
                    <w:t>是否带滚轮：不带滚轮</w:t>
                  </w:r>
                  <w:r>
                    <w:br/>
                  </w:r>
                  <w:r>
                    <w:rPr>
                      <w:rFonts w:ascii="仿宋_GB2312" w:hAnsi="仿宋_GB2312" w:cs="仿宋_GB2312" w:eastAsia="仿宋_GB2312"/>
                      <w:sz w:val="21"/>
                    </w:rPr>
                    <w:t>▲</w:t>
                  </w:r>
                  <w:r>
                    <w:rPr>
                      <w:rFonts w:ascii="仿宋_GB2312" w:hAnsi="仿宋_GB2312" w:cs="仿宋_GB2312" w:eastAsia="仿宋_GB2312"/>
                      <w:sz w:val="20"/>
                      <w:color w:val="000000"/>
                    </w:rPr>
                    <w:t>尺寸：坐高</w:t>
                  </w:r>
                  <w:r>
                    <w:rPr>
                      <w:rFonts w:ascii="仿宋_GB2312" w:hAnsi="仿宋_GB2312" w:cs="仿宋_GB2312" w:eastAsia="仿宋_GB2312"/>
                      <w:sz w:val="20"/>
                      <w:color w:val="000000"/>
                    </w:rPr>
                    <w:t>≥380mm</w:t>
                  </w:r>
                  <w:r>
                    <w:br/>
                  </w:r>
                  <w:r>
                    <w:rPr>
                      <w:rFonts w:ascii="仿宋_GB2312" w:hAnsi="仿宋_GB2312" w:cs="仿宋_GB2312" w:eastAsia="仿宋_GB2312"/>
                      <w:sz w:val="21"/>
                    </w:rPr>
                    <w:t>▲</w:t>
                  </w:r>
                  <w:r>
                    <w:rPr>
                      <w:rFonts w:ascii="仿宋_GB2312" w:hAnsi="仿宋_GB2312" w:cs="仿宋_GB2312" w:eastAsia="仿宋_GB2312"/>
                      <w:sz w:val="20"/>
                      <w:color w:val="000000"/>
                    </w:rPr>
                    <w:t>坐深：</w:t>
                  </w:r>
                  <w:r>
                    <w:rPr>
                      <w:rFonts w:ascii="仿宋_GB2312" w:hAnsi="仿宋_GB2312" w:cs="仿宋_GB2312" w:eastAsia="仿宋_GB2312"/>
                      <w:sz w:val="20"/>
                      <w:color w:val="000000"/>
                    </w:rPr>
                    <w:t>≥420mm</w:t>
                  </w:r>
                </w:p>
                <w:p>
                  <w:pPr>
                    <w:pStyle w:val="null3"/>
                    <w:jc w:val="left"/>
                  </w:pPr>
                  <w:r>
                    <w:rPr>
                      <w:rFonts w:ascii="仿宋_GB2312" w:hAnsi="仿宋_GB2312" w:cs="仿宋_GB2312" w:eastAsia="仿宋_GB2312"/>
                      <w:sz w:val="21"/>
                    </w:rPr>
                    <w:t>▲</w:t>
                  </w:r>
                  <w:r>
                    <w:rPr>
                      <w:rFonts w:ascii="仿宋_GB2312" w:hAnsi="仿宋_GB2312" w:cs="仿宋_GB2312" w:eastAsia="仿宋_GB2312"/>
                      <w:sz w:val="20"/>
                      <w:color w:val="000000"/>
                    </w:rPr>
                    <w:t>坐宽：</w:t>
                  </w:r>
                  <w:r>
                    <w:rPr>
                      <w:rFonts w:ascii="仿宋_GB2312" w:hAnsi="仿宋_GB2312" w:cs="仿宋_GB2312" w:eastAsia="仿宋_GB2312"/>
                      <w:sz w:val="20"/>
                      <w:color w:val="000000"/>
                    </w:rPr>
                    <w:t>≥360mm</w:t>
                  </w:r>
                  <w:r>
                    <w:br/>
                  </w:r>
                  <w:r>
                    <w:rPr>
                      <w:rFonts w:ascii="仿宋_GB2312" w:hAnsi="仿宋_GB2312" w:cs="仿宋_GB2312" w:eastAsia="仿宋_GB2312"/>
                      <w:sz w:val="21"/>
                    </w:rPr>
                    <w:t>▲</w:t>
                  </w:r>
                  <w:r>
                    <w:rPr>
                      <w:rFonts w:ascii="仿宋_GB2312" w:hAnsi="仿宋_GB2312" w:cs="仿宋_GB2312" w:eastAsia="仿宋_GB2312"/>
                      <w:sz w:val="20"/>
                      <w:color w:val="000000"/>
                    </w:rPr>
                    <w:t>靠背高度：</w:t>
                  </w:r>
                  <w:r>
                    <w:rPr>
                      <w:rFonts w:ascii="仿宋_GB2312" w:hAnsi="仿宋_GB2312" w:cs="仿宋_GB2312" w:eastAsia="仿宋_GB2312"/>
                      <w:sz w:val="20"/>
                      <w:color w:val="000000"/>
                    </w:rPr>
                    <w:t>≥275mm</w:t>
                  </w:r>
                </w:p>
                <w:p>
                  <w:pPr>
                    <w:pStyle w:val="null3"/>
                    <w:jc w:val="left"/>
                  </w:pPr>
                  <w:r>
                    <w:rPr>
                      <w:rFonts w:ascii="仿宋_GB2312" w:hAnsi="仿宋_GB2312" w:cs="仿宋_GB2312" w:eastAsia="仿宋_GB2312"/>
                      <w:sz w:val="21"/>
                    </w:rPr>
                    <w:t>▲</w:t>
                  </w:r>
                  <w:r>
                    <w:rPr>
                      <w:rFonts w:ascii="仿宋_GB2312" w:hAnsi="仿宋_GB2312" w:cs="仿宋_GB2312" w:eastAsia="仿宋_GB2312"/>
                      <w:sz w:val="20"/>
                      <w:color w:val="000000"/>
                    </w:rPr>
                    <w:t>扶手内宽：</w:t>
                  </w:r>
                  <w:r>
                    <w:rPr>
                      <w:rFonts w:ascii="仿宋_GB2312" w:hAnsi="仿宋_GB2312" w:cs="仿宋_GB2312" w:eastAsia="仿宋_GB2312"/>
                      <w:sz w:val="20"/>
                      <w:color w:val="000000"/>
                    </w:rPr>
                    <w:t>≥440mm</w:t>
                  </w:r>
                </w:p>
                <w:p>
                  <w:pPr>
                    <w:pStyle w:val="null3"/>
                    <w:jc w:val="left"/>
                  </w:pPr>
                  <w:r>
                    <w:rPr>
                      <w:rFonts w:ascii="仿宋_GB2312" w:hAnsi="仿宋_GB2312" w:cs="仿宋_GB2312" w:eastAsia="仿宋_GB2312"/>
                      <w:sz w:val="21"/>
                    </w:rPr>
                    <w:t>▲</w:t>
                  </w:r>
                  <w:r>
                    <w:rPr>
                      <w:rFonts w:ascii="仿宋_GB2312" w:hAnsi="仿宋_GB2312" w:cs="仿宋_GB2312" w:eastAsia="仿宋_GB2312"/>
                      <w:sz w:val="20"/>
                      <w:color w:val="000000"/>
                    </w:rPr>
                    <w:t>扶手高：</w:t>
                  </w:r>
                  <w:r>
                    <w:rPr>
                      <w:rFonts w:ascii="仿宋_GB2312" w:hAnsi="仿宋_GB2312" w:cs="仿宋_GB2312" w:eastAsia="仿宋_GB2312"/>
                      <w:sz w:val="20"/>
                      <w:color w:val="000000"/>
                    </w:rPr>
                    <w:t>≥160mm</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保密柜</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每组尺寸</w:t>
                  </w:r>
                  <w:r>
                    <w:rPr>
                      <w:rFonts w:ascii="仿宋_GB2312" w:hAnsi="仿宋_GB2312" w:cs="仿宋_GB2312" w:eastAsia="仿宋_GB2312"/>
                      <w:sz w:val="20"/>
                      <w:color w:val="000000"/>
                    </w:rPr>
                    <w:t xml:space="preserve">≥深1000×宽570×高2500mm,根据房间尺寸组合使用，六层双面存放采用一级冷轧钢板，一次成型工艺地盘≥3.0m </w:t>
                  </w:r>
                  <w:r>
                    <w:br/>
                  </w:r>
                  <w:r>
                    <w:rPr>
                      <w:rFonts w:ascii="仿宋_GB2312" w:hAnsi="仿宋_GB2312" w:cs="仿宋_GB2312" w:eastAsia="仿宋_GB2312"/>
                      <w:sz w:val="20"/>
                      <w:color w:val="000000"/>
                    </w:rPr>
                    <w:t>立柱</w:t>
                  </w:r>
                  <w:r>
                    <w:rPr>
                      <w:rFonts w:ascii="仿宋_GB2312" w:hAnsi="仿宋_GB2312" w:cs="仿宋_GB2312" w:eastAsia="仿宋_GB2312"/>
                      <w:sz w:val="20"/>
                      <w:color w:val="000000"/>
                    </w:rPr>
                    <w:t>≥1.2mm 做4道加强筋</w:t>
                  </w:r>
                  <w:r>
                    <w:br/>
                  </w:r>
                  <w:r>
                    <w:rPr>
                      <w:rFonts w:ascii="仿宋_GB2312" w:hAnsi="仿宋_GB2312" w:cs="仿宋_GB2312" w:eastAsia="仿宋_GB2312"/>
                      <w:sz w:val="20"/>
                      <w:color w:val="000000"/>
                    </w:rPr>
                    <w:t>隔板</w:t>
                  </w:r>
                  <w:r>
                    <w:rPr>
                      <w:rFonts w:ascii="仿宋_GB2312" w:hAnsi="仿宋_GB2312" w:cs="仿宋_GB2312" w:eastAsia="仿宋_GB2312"/>
                      <w:sz w:val="20"/>
                      <w:color w:val="000000"/>
                    </w:rPr>
                    <w:t xml:space="preserve">≥1.2mm </w:t>
                  </w:r>
                  <w:r>
                    <w:br/>
                  </w:r>
                  <w:r>
                    <w:rPr>
                      <w:rFonts w:ascii="仿宋_GB2312" w:hAnsi="仿宋_GB2312" w:cs="仿宋_GB2312" w:eastAsia="仿宋_GB2312"/>
                      <w:sz w:val="20"/>
                      <w:color w:val="000000"/>
                    </w:rPr>
                    <w:t>挂板</w:t>
                  </w:r>
                  <w:r>
                    <w:rPr>
                      <w:rFonts w:ascii="仿宋_GB2312" w:hAnsi="仿宋_GB2312" w:cs="仿宋_GB2312" w:eastAsia="仿宋_GB2312"/>
                      <w:sz w:val="20"/>
                      <w:color w:val="000000"/>
                    </w:rPr>
                    <w:t>≥1.1mm 做4道加强筋</w:t>
                  </w:r>
                  <w:r>
                    <w:br/>
                  </w:r>
                  <w:r>
                    <w:rPr>
                      <w:rFonts w:ascii="仿宋_GB2312" w:hAnsi="仿宋_GB2312" w:cs="仿宋_GB2312" w:eastAsia="仿宋_GB2312"/>
                      <w:sz w:val="20"/>
                      <w:color w:val="000000"/>
                    </w:rPr>
                    <w:t>地上平铺轨道，不破坏地面，两列之司配置防撞条，防止碰撞产生噪音</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单人床</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1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床：</w:t>
                  </w:r>
                  <w:r>
                    <w:rPr>
                      <w:rFonts w:ascii="仿宋_GB2312" w:hAnsi="仿宋_GB2312" w:cs="仿宋_GB2312" w:eastAsia="仿宋_GB2312"/>
                      <w:sz w:val="20"/>
                      <w:color w:val="000000"/>
                    </w:rPr>
                    <w:t>≥宽1500×长2000mm，含1个床头柜、2套1.5米×2米的被褥、被套、床单</w:t>
                  </w:r>
                </w:p>
              </w:tc>
            </w:tr>
          </w:tbl>
          <w:p>
            <w:pPr>
              <w:pStyle w:val="null3"/>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合同签订后30日历天内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铜川市</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项目供货到位，安装完成并验收合格后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严格按照本项目招标文件、中标供应商投标文件、已签订的合同文本及国家/行业相关标准及规范等要求标准验收。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保修范围为本项目供货范围。根据各采购标的品类的国家“三包”政策进行质保，最低不少于国家规定的同类产品质保期限。招标文件中有特殊约定的，从其约定。</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见合同条款</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主体经营资格</w:t>
            </w:r>
          </w:p>
        </w:tc>
        <w:tc>
          <w:tcPr>
            <w:tcW w:type="dxa" w:w="3322"/>
          </w:tcPr>
          <w:p>
            <w:pPr>
              <w:pStyle w:val="null3"/>
            </w:pPr>
            <w:r>
              <w:rPr>
                <w:rFonts w:ascii="仿宋_GB2312" w:hAnsi="仿宋_GB2312" w:cs="仿宋_GB2312" w:eastAsia="仿宋_GB2312"/>
              </w:rPr>
              <w:t>供应商具有独立承担民事责任能力的法人、其他组织或自然人。企业法人或其他组织应在中华人民共和国境内注册，依法取得并有效存续的营业执照（含电子营业执照）\事业单位法人证书\民办非企业单位登记证书非企业专业服务机构执业许可证\其他合法登记证明文件等；自然人应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①可提供2024年度经审计的财务报告（包含审计报告和审计报告中所涉及的财务报表和报表附注），②可提供2024年度供应商完整的全套财务报表（应当包括资产负债表、利润表、现金流量表、所有者权益变动表），③可提供截至投标文件提交截止日一年内银行出具的资信证明（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时间以税款所属日期为准、税种须同时包含增值税或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提供递交投标文件截止之日前一年内任意一个月的社会保障资金缴存单据或社保机构开具的社会保险参保缴费情况证明。依法不需要缴纳社会保障资金的供应商应提供相关证明文件。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提供具有履行本合同所必需的设备和专业技术能力的书面声明。</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提供《供应商信用记录书面声明函》，供应商参加本次政府采购活动前三年内在经营活动中没有重大违法记录：供应商未被列入“信用中国”网站记录的“严重失信主体”或“重大税收违法案件当事人”名单：未被列入“中国执行信息公开网”记录的“失信被执行人”名单；不处于“中国政府采购网”记录的“政府采购严重违法失信行为信息记录名单”中的禁止参加政府采购活动期间。</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法定代表人（主要负责人）身份证明/授权委托书</w:t>
            </w:r>
          </w:p>
        </w:tc>
        <w:tc>
          <w:tcPr>
            <w:tcW w:type="dxa" w:w="3322"/>
          </w:tcPr>
          <w:p>
            <w:pPr>
              <w:pStyle w:val="null3"/>
            </w:pPr>
            <w:r>
              <w:rPr>
                <w:rFonts w:ascii="仿宋_GB2312" w:hAnsi="仿宋_GB2312" w:cs="仿宋_GB2312" w:eastAsia="仿宋_GB2312"/>
              </w:rPr>
              <w:t>法定代表人（主要负责人）参加投标的，须提供法定代表人（主要负责人）身份证明：法定代表人（主要负责人）授权他人参加投标的，须提供法定代表人（主要负责人）授权委托书。招标文件中凡是需要法定代表人盖章之处，非法人单位的负责人均参照执行。法人的分支机构参与投标时，除提供《法定代表人（主要负责人）授权委托书》外，还须同时提供法人给分支机构出具的授权书。</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投标文件签章</w:t>
            </w:r>
          </w:p>
        </w:tc>
        <w:tc>
          <w:tcPr>
            <w:tcW w:type="dxa" w:w="3322"/>
          </w:tcPr>
          <w:p>
            <w:pPr>
              <w:pStyle w:val="null3"/>
            </w:pPr>
            <w:r>
              <w:rPr>
                <w:rFonts w:ascii="仿宋_GB2312" w:hAnsi="仿宋_GB2312" w:cs="仿宋_GB2312" w:eastAsia="仿宋_GB2312"/>
              </w:rPr>
              <w:t>投标文件的签章均符合招标文件要求，且无遗漏。</w:t>
            </w:r>
          </w:p>
        </w:tc>
        <w:tc>
          <w:tcPr>
            <w:tcW w:type="dxa" w:w="1661"/>
          </w:tcPr>
          <w:p>
            <w:pPr>
              <w:pStyle w:val="null3"/>
            </w:pPr>
            <w:r>
              <w:rPr>
                <w:rFonts w:ascii="仿宋_GB2312" w:hAnsi="仿宋_GB2312" w:cs="仿宋_GB2312" w:eastAsia="仿宋_GB2312"/>
              </w:rPr>
              <w:t>开标一览表 分项报价表.docx 投标函 合同文本条款响应.docx 标的清单 投标文件封面 供应商承诺书.docx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符合招标文件的要求，且不少于90天</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同时满足以下条款：（1）货币单位符合招标文件要求；（2）报价符合唯一性要求；（3）未超出采购预算或最高限价；（4）符合《开标一览表》、《分项报价表》及《标的清单》的填报要求</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完全理解并接受《质量安全责任承诺书》、《拒绝政府采购领域商业贿赂承诺书》。</w:t>
            </w:r>
          </w:p>
        </w:tc>
        <w:tc>
          <w:tcPr>
            <w:tcW w:type="dxa" w:w="1661"/>
          </w:tcPr>
          <w:p>
            <w:pPr>
              <w:pStyle w:val="null3"/>
            </w:pPr>
            <w:r>
              <w:rPr>
                <w:rFonts w:ascii="仿宋_GB2312" w:hAnsi="仿宋_GB2312" w:cs="仿宋_GB2312" w:eastAsia="仿宋_GB2312"/>
              </w:rPr>
              <w:t>供应商承诺书.docx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完全理解并接受对合格供应商、合格的货物、工程或服务要求，结合招标文件第三章“招标项目技术、服务、商务及其他要求”的实质性要求且没有负偏离。</w:t>
            </w:r>
          </w:p>
        </w:tc>
        <w:tc>
          <w:tcPr>
            <w:tcW w:type="dxa" w:w="1661"/>
          </w:tcPr>
          <w:p>
            <w:pPr>
              <w:pStyle w:val="null3"/>
            </w:pPr>
            <w:r>
              <w:rPr>
                <w:rFonts w:ascii="仿宋_GB2312" w:hAnsi="仿宋_GB2312" w:cs="仿宋_GB2312" w:eastAsia="仿宋_GB2312"/>
              </w:rPr>
              <w:t>产品技术参数表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完全理解并接受招标文件《合同文本》条款的要求，且未有采购人不能接受的附加条件的。</w:t>
            </w:r>
          </w:p>
        </w:tc>
        <w:tc>
          <w:tcPr>
            <w:tcW w:type="dxa" w:w="1661"/>
          </w:tcPr>
          <w:p>
            <w:pPr>
              <w:pStyle w:val="null3"/>
            </w:pPr>
            <w:r>
              <w:rPr>
                <w:rFonts w:ascii="仿宋_GB2312" w:hAnsi="仿宋_GB2312" w:cs="仿宋_GB2312" w:eastAsia="仿宋_GB2312"/>
              </w:rPr>
              <w:t>合同文本条款响应.docx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所投产品技术参数清楚、明确并能逐条响应采购文件。 所有标记为▲的参数完全满足采购要求并能提供证明材料得满分，每有1项不满足、有负偏离或未提供证明材料的扣1分，扣完为止。 证明材料：包括但不限于加盖生产厂商的检验试验报告、测试报告、质量证明书、认证报告、产品说明书、官网截图、承诺书等相关证明文件扫描件。</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根据本项目实际需求及特点，制定技术服务方案，内容包含①供货组织安排②供货进度计划③安装及验收方案④物力调配及保障措施。方案响应高效、服务标准和服务承诺明确具体，方案科学合理详细，针对性强，服务标准严格、服务响应高效、流程清晰易行，服务措施完善，可操作性强，每项得3分；方案基本合理，服务标准尚且规范、服务响应尚可接受、服务流程较清楚，有一定针对性和可操作性，每项得2分；无针对性、语焉不详，或可操作性差或不适用本项目特性、套用其他项目内容，不利于采购目标的实现，每项得1分；未提供不得分。最高得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供货服务方案.docx</w:t>
            </w:r>
          </w:p>
        </w:tc>
      </w:tr>
      <w:tr>
        <w:tc>
          <w:tcPr>
            <w:tcW w:type="dxa" w:w="831"/>
            <w:vMerge/>
          </w:tcPr>
          <w:p/>
        </w:tc>
        <w:tc>
          <w:tcPr>
            <w:tcW w:type="dxa" w:w="1661"/>
          </w:tcPr>
          <w:p>
            <w:pPr>
              <w:pStyle w:val="null3"/>
            </w:pPr>
            <w:r>
              <w:rPr>
                <w:rFonts w:ascii="仿宋_GB2312" w:hAnsi="仿宋_GB2312" w:cs="仿宋_GB2312" w:eastAsia="仿宋_GB2312"/>
              </w:rPr>
              <w:t>售后服务措施及承诺</w:t>
            </w:r>
          </w:p>
        </w:tc>
        <w:tc>
          <w:tcPr>
            <w:tcW w:type="dxa" w:w="2492"/>
          </w:tcPr>
          <w:p>
            <w:pPr>
              <w:pStyle w:val="null3"/>
            </w:pPr>
            <w:r>
              <w:rPr>
                <w:rFonts w:ascii="仿宋_GB2312" w:hAnsi="仿宋_GB2312" w:cs="仿宋_GB2312" w:eastAsia="仿宋_GB2312"/>
              </w:rPr>
              <w:t>供应商具有详细的售后服务措施及承诺，完全满足项目实际需求得10分，基本满足但完整性和可操作性欠缺得6分，无针对性、语焉不详，或可操作性差或不适用本项目特性、套用其他项目内容，不利于采购目标的实现得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质保及售后服务方案.docx</w:t>
            </w:r>
          </w:p>
        </w:tc>
      </w:tr>
      <w:tr>
        <w:tc>
          <w:tcPr>
            <w:tcW w:type="dxa" w:w="831"/>
            <w:vMerge/>
          </w:tcPr>
          <w:p/>
        </w:tc>
        <w:tc>
          <w:tcPr>
            <w:tcW w:type="dxa" w:w="1661"/>
          </w:tcPr>
          <w:p>
            <w:pPr>
              <w:pStyle w:val="null3"/>
            </w:pPr>
            <w:r>
              <w:rPr>
                <w:rFonts w:ascii="仿宋_GB2312" w:hAnsi="仿宋_GB2312" w:cs="仿宋_GB2312" w:eastAsia="仿宋_GB2312"/>
              </w:rPr>
              <w:t>原厂售后承诺</w:t>
            </w:r>
          </w:p>
        </w:tc>
        <w:tc>
          <w:tcPr>
            <w:tcW w:type="dxa" w:w="2492"/>
          </w:tcPr>
          <w:p>
            <w:pPr>
              <w:pStyle w:val="null3"/>
            </w:pPr>
            <w:r>
              <w:rPr>
                <w:rFonts w:ascii="仿宋_GB2312" w:hAnsi="仿宋_GB2312" w:cs="仿宋_GB2312" w:eastAsia="仿宋_GB2312"/>
              </w:rPr>
              <w:t>所投产品能够提供加盖原厂公章的售后承诺的，承诺提供不少于三年的保修，每个得1分，满分8分。未提供不得分。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质保及售后服务方案.docx</w:t>
            </w:r>
          </w:p>
        </w:tc>
      </w:tr>
      <w:tr>
        <w:tc>
          <w:tcPr>
            <w:tcW w:type="dxa" w:w="831"/>
            <w:vMerge/>
          </w:tcPr>
          <w:p/>
        </w:tc>
        <w:tc>
          <w:tcPr>
            <w:tcW w:type="dxa" w:w="1661"/>
          </w:tcPr>
          <w:p>
            <w:pPr>
              <w:pStyle w:val="null3"/>
            </w:pPr>
            <w:r>
              <w:rPr>
                <w:rFonts w:ascii="仿宋_GB2312" w:hAnsi="仿宋_GB2312" w:cs="仿宋_GB2312" w:eastAsia="仿宋_GB2312"/>
              </w:rPr>
              <w:t>应急保障方案</w:t>
            </w:r>
          </w:p>
        </w:tc>
        <w:tc>
          <w:tcPr>
            <w:tcW w:type="dxa" w:w="2492"/>
          </w:tcPr>
          <w:p>
            <w:pPr>
              <w:pStyle w:val="null3"/>
            </w:pPr>
            <w:r>
              <w:rPr>
                <w:rFonts w:ascii="仿宋_GB2312" w:hAnsi="仿宋_GB2312" w:cs="仿宋_GB2312" w:eastAsia="仿宋_GB2312"/>
              </w:rPr>
              <w:t>供应商针对本项目提供完善合理的应急保障方案，包括但不限于进度延误、出现质量问题时的补救措施等。 供应商提供的应急方案，内容详尽、描述清晰、且应急保障方案与该项目要求贴合度高得8分； 提供的应急方案，内容较详尽、描述较清晰、且应急保障方案与该项目有部分贴合度得5分； 提供的应急方案，内容、描述不清晰、不合理或不适用本项目特性、套用其他项目内容，不利于采购目标的实现2分。未提供不得分。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供货服务方案.docx</w:t>
            </w:r>
          </w:p>
        </w:tc>
      </w:tr>
      <w:tr>
        <w:tc>
          <w:tcPr>
            <w:tcW w:type="dxa" w:w="831"/>
            <w:vMerge/>
          </w:tcPr>
          <w:p/>
        </w:tc>
        <w:tc>
          <w:tcPr>
            <w:tcW w:type="dxa" w:w="1661"/>
          </w:tcPr>
          <w:p>
            <w:pPr>
              <w:pStyle w:val="null3"/>
            </w:pPr>
            <w:r>
              <w:rPr>
                <w:rFonts w:ascii="仿宋_GB2312" w:hAnsi="仿宋_GB2312" w:cs="仿宋_GB2312" w:eastAsia="仿宋_GB2312"/>
              </w:rPr>
              <w:t>进货渠道</w:t>
            </w:r>
          </w:p>
        </w:tc>
        <w:tc>
          <w:tcPr>
            <w:tcW w:type="dxa" w:w="2492"/>
          </w:tcPr>
          <w:p>
            <w:pPr>
              <w:pStyle w:val="null3"/>
            </w:pPr>
            <w:r>
              <w:rPr>
                <w:rFonts w:ascii="仿宋_GB2312" w:hAnsi="仿宋_GB2312" w:cs="仿宋_GB2312" w:eastAsia="仿宋_GB2312"/>
              </w:rPr>
              <w:t>货源渠道正规、供应充足，产地及制造商明确，产品销售记录可追溯。所投产品能够提供合格有效的授权文件，每个得1分，满分8分。未提供不得分。 证明材料：提供生产厂商出具的授权函。如为厂商直接参与投标的，须提供相关证明或承诺原件扫描件并加盖供应商公章。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进货渠道证明.docx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详见附件：合同文本条款响应.docx</w:t>
      </w:r>
    </w:p>
    <w:p>
      <w:pPr>
        <w:pStyle w:val="null3"/>
        <w:ind w:firstLine="960"/>
      </w:pPr>
      <w:r>
        <w:rPr>
          <w:rFonts w:ascii="仿宋_GB2312" w:hAnsi="仿宋_GB2312" w:cs="仿宋_GB2312" w:eastAsia="仿宋_GB2312"/>
        </w:rPr>
        <w:t>详见附件：供货服务方案.docx</w:t>
      </w:r>
    </w:p>
    <w:p>
      <w:pPr>
        <w:pStyle w:val="null3"/>
        <w:ind w:firstLine="960"/>
      </w:pPr>
      <w:r>
        <w:rPr>
          <w:rFonts w:ascii="仿宋_GB2312" w:hAnsi="仿宋_GB2312" w:cs="仿宋_GB2312" w:eastAsia="仿宋_GB2312"/>
        </w:rPr>
        <w:t>详见附件：进货渠道证明.docx</w:t>
      </w:r>
    </w:p>
    <w:p>
      <w:pPr>
        <w:pStyle w:val="null3"/>
        <w:ind w:firstLine="960"/>
      </w:pPr>
      <w:r>
        <w:rPr>
          <w:rFonts w:ascii="仿宋_GB2312" w:hAnsi="仿宋_GB2312" w:cs="仿宋_GB2312" w:eastAsia="仿宋_GB2312"/>
        </w:rPr>
        <w:t>详见附件：质保及售后服务方案.docx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