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版本号：THZBCG-202502020251023002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铜川市河湖健康评价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THZBCG-2025020</w:t>
      </w:r>
      <w:r>
        <w:br/>
      </w:r>
      <w:r>
        <w:br/>
      </w:r>
      <w:r>
        <w:br/>
      </w:r>
    </w:p>
    <w:p>
      <w:pPr>
        <w:pStyle w:val="null3"/>
        <w:jc w:val="center"/>
        <w:outlineLvl w:val="2"/>
      </w:pPr>
      <w:r>
        <w:rPr>
          <w:rFonts w:ascii="仿宋_GB2312" w:hAnsi="仿宋_GB2312" w:cs="仿宋_GB2312" w:eastAsia="仿宋_GB2312"/>
          <w:sz w:val="28"/>
          <w:b/>
        </w:rPr>
        <w:t>铜川市水务局</w:t>
      </w:r>
    </w:p>
    <w:p>
      <w:pPr>
        <w:pStyle w:val="null3"/>
        <w:jc w:val="center"/>
        <w:outlineLvl w:val="2"/>
      </w:pPr>
      <w:r>
        <w:rPr>
          <w:rFonts w:ascii="仿宋_GB2312" w:hAnsi="仿宋_GB2312" w:cs="仿宋_GB2312" w:eastAsia="仿宋_GB2312"/>
          <w:sz w:val="28"/>
          <w:b/>
        </w:rPr>
        <w:t>陕西泰禾项目管理有限公司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铜川市水务局</w:t>
      </w:r>
      <w:r>
        <w:rPr>
          <w:rFonts w:ascii="仿宋_GB2312" w:hAnsi="仿宋_GB2312" w:cs="仿宋_GB2312" w:eastAsia="仿宋_GB2312"/>
        </w:rPr>
        <w:t>委托，拟对</w:t>
      </w:r>
      <w:r>
        <w:rPr>
          <w:rFonts w:ascii="仿宋_GB2312" w:hAnsi="仿宋_GB2312" w:cs="仿宋_GB2312" w:eastAsia="仿宋_GB2312"/>
        </w:rPr>
        <w:t>铜川市河湖健康评价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THZBCG-2025020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铜川市河湖健康评价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开展漆水河、清河、武家河健康评价，编制评 价报告。通过评价，确定河湖健康指数，为河 湖治理保护提供基础依 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采购包1（铜川市河湖健康评价）：属于专门面向小微企业采购。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 其他组织应提供合法登记证明文件； 自然人应提供身份证。</w:t>
      </w:r>
    </w:p>
    <w:p>
      <w:pPr>
        <w:pStyle w:val="null3"/>
      </w:pPr>
      <w:r>
        <w:rPr>
          <w:rFonts w:ascii="仿宋_GB2312" w:hAnsi="仿宋_GB2312" w:cs="仿宋_GB2312" w:eastAsia="仿宋_GB2312"/>
        </w:rPr>
        <w:t>2、法定代表人授权书及被授权人身份证：法定代表人直接参加磋商的，须出具法人身份证明，并与营业执照上信息一致；被授权人参加磋商的，须出具法定代表人授权书、被授权人身份证。</w:t>
      </w:r>
    </w:p>
    <w:p>
      <w:pPr>
        <w:pStyle w:val="null3"/>
      </w:pPr>
      <w:r>
        <w:rPr>
          <w:rFonts w:ascii="仿宋_GB2312" w:hAnsi="仿宋_GB2312" w:cs="仿宋_GB2312" w:eastAsia="仿宋_GB2312"/>
        </w:rPr>
        <w:t>3、财务状况报告：提供2022年-2024年度任意一年经财务审计机构出具的财务审计报告（至少包括资产负债表和利润表，成立时间至提交响应文件截止时间不足一年的可提供成立后任意时段的资产负债表），或基本存款账户开户银行出具的资信证明。</w:t>
      </w:r>
    </w:p>
    <w:p>
      <w:pPr>
        <w:pStyle w:val="null3"/>
      </w:pPr>
      <w:r>
        <w:rPr>
          <w:rFonts w:ascii="仿宋_GB2312" w:hAnsi="仿宋_GB2312" w:cs="仿宋_GB2312" w:eastAsia="仿宋_GB2312"/>
        </w:rPr>
        <w:t>4、社保缴纳证明：提供供应商开标前六个月至今已缴存的至少一个月的城镇职工基本养老保险参保缴费证明，依法不需要缴纳社会保障资金的单位应提供相关证明材料。</w:t>
      </w:r>
    </w:p>
    <w:p>
      <w:pPr>
        <w:pStyle w:val="null3"/>
      </w:pPr>
      <w:r>
        <w:rPr>
          <w:rFonts w:ascii="仿宋_GB2312" w:hAnsi="仿宋_GB2312" w:cs="仿宋_GB2312" w:eastAsia="仿宋_GB2312"/>
        </w:rPr>
        <w:t>5、税收缴纳证明：提供供应商开标前六个月至今已缴纳的至少一个月的纳税证明或完税证明（提供增值税、企业所得税至少一种）, 依法免税的单位应提供相关证明材料。</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7、控股管理关系：单位负责人为同一人或者存在直接控股、管理关系的供应商，不得参加同一合同下的政府采购活动（提供承诺函）。</w:t>
      </w:r>
    </w:p>
    <w:p>
      <w:pPr>
        <w:pStyle w:val="null3"/>
      </w:pPr>
      <w:r>
        <w:rPr>
          <w:rFonts w:ascii="仿宋_GB2312" w:hAnsi="仿宋_GB2312" w:cs="仿宋_GB2312" w:eastAsia="仿宋_GB2312"/>
        </w:rPr>
        <w:t>8、提供具有履行本合同所必需的设备和专业技术能力的说明或承诺：提供具有履行本合同所必需的设备和专业技术能力的说明或承诺。</w:t>
      </w:r>
    </w:p>
    <w:p>
      <w:pPr>
        <w:pStyle w:val="null3"/>
      </w:pPr>
      <w:r>
        <w:rPr>
          <w:rFonts w:ascii="仿宋_GB2312" w:hAnsi="仿宋_GB2312" w:cs="仿宋_GB2312" w:eastAsia="仿宋_GB2312"/>
        </w:rPr>
        <w:t>9、供应商信用：供应商不得为“信用中国” 网站（ www.creditchina.gov.cn）（中国执行信息公开网）中列入失信被执行人和重大税收违法失信主 体名单的供应商，不得为“ 中国政府采购网” 网站（ 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铜川市新区长丰北路6号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李兴文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0919-3181065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陕西省西安市雁塔区西安曲江新区金泘沱二路金辉环球中心d座505号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18092731247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代理服务费收费标准：参考《国家计委关于印发〈招标代理服务费管理暂行办法〉的通知》（ 计价格【2002】1980号）、《国家发展和改革委员会办公厅关于招标代理服务收费有关问题 的通知》（发改办价格〔2003〕857号）、国家发展改革委《关于进一步放开建设项目专业服 务价格的通知》（发改价格〔2015〕299号）。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铜川市水务局</w:t>
      </w:r>
      <w:r>
        <w:rPr>
          <w:rFonts w:ascii="仿宋_GB2312" w:hAnsi="仿宋_GB2312" w:cs="仿宋_GB2312" w:eastAsia="仿宋_GB2312"/>
        </w:rPr>
        <w:t>和</w:t>
      </w:r>
      <w:r>
        <w:rPr>
          <w:rFonts w:ascii="仿宋_GB2312" w:hAnsi="仿宋_GB2312" w:cs="仿宋_GB2312" w:eastAsia="仿宋_GB2312"/>
        </w:rPr>
        <w:t>陕西泰禾项目管理有限公司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联系人：刘康</w:t>
      </w:r>
    </w:p>
    <w:p>
      <w:pPr>
        <w:pStyle w:val="null3"/>
      </w:pPr>
      <w:r>
        <w:rPr>
          <w:rFonts w:ascii="仿宋_GB2312" w:hAnsi="仿宋_GB2312" w:cs="仿宋_GB2312" w:eastAsia="仿宋_GB2312"/>
        </w:rPr>
        <w:t>联系电话：18092731247</w:t>
      </w:r>
    </w:p>
    <w:p>
      <w:pPr>
        <w:pStyle w:val="null3"/>
      </w:pPr>
      <w:r>
        <w:rPr>
          <w:rFonts w:ascii="仿宋_GB2312" w:hAnsi="仿宋_GB2312" w:cs="仿宋_GB2312" w:eastAsia="仿宋_GB2312"/>
        </w:rPr>
        <w:t>地址：陕西省西安曲江新区金泘沱二路金辉环球中心d座505号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开展漆水河、清河、武家河健康评价，编制评价报告。通过评价，确定河湖健康指数，为河湖治理保护提供基础依据。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铜川市河湖健康评价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标的名称：铜川市河湖健康评价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000000"/>
              </w:rPr>
              <w:t>符合陕西省河湖健康评价指南（试行）规范要求。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left"/>
            </w:pPr>
            <w:r>
              <w:rPr>
                <w:rFonts w:ascii="仿宋_GB2312" w:hAnsi="仿宋_GB2312" w:cs="仿宋_GB2312" w:eastAsia="仿宋_GB2312"/>
                <w:sz w:val="28"/>
                <w:color w:val="000000"/>
              </w:rPr>
              <w:t>一、</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内容</w:t>
            </w:r>
          </w:p>
          <w:p>
            <w:pPr>
              <w:pStyle w:val="null3"/>
              <w:ind w:firstLine="560"/>
              <w:jc w:val="left"/>
            </w:pPr>
            <w:r>
              <w:rPr>
                <w:rFonts w:ascii="仿宋_GB2312" w:hAnsi="仿宋_GB2312" w:cs="仿宋_GB2312" w:eastAsia="仿宋_GB2312"/>
                <w:sz w:val="28"/>
                <w:color w:val="000000"/>
              </w:rPr>
              <w:t>1、调查收集</w:t>
            </w:r>
            <w:r>
              <w:rPr>
                <w:rFonts w:ascii="仿宋_GB2312" w:hAnsi="仿宋_GB2312" w:cs="仿宋_GB2312" w:eastAsia="仿宋_GB2312"/>
                <w:sz w:val="28"/>
                <w:color w:val="000000"/>
              </w:rPr>
              <w:t>铜川市漆水河</w:t>
            </w:r>
            <w:r>
              <w:rPr>
                <w:rFonts w:ascii="仿宋_GB2312" w:hAnsi="仿宋_GB2312" w:cs="仿宋_GB2312" w:eastAsia="仿宋_GB2312"/>
                <w:sz w:val="28"/>
                <w:color w:val="000000"/>
              </w:rPr>
              <w:t>、</w:t>
            </w:r>
            <w:r>
              <w:rPr>
                <w:rFonts w:ascii="仿宋_GB2312" w:hAnsi="仿宋_GB2312" w:cs="仿宋_GB2312" w:eastAsia="仿宋_GB2312"/>
                <w:sz w:val="28"/>
                <w:color w:val="000000"/>
              </w:rPr>
              <w:t>武家河、清河</w:t>
            </w:r>
            <w:r>
              <w:rPr>
                <w:rFonts w:ascii="仿宋_GB2312" w:hAnsi="仿宋_GB2312" w:cs="仿宋_GB2312" w:eastAsia="仿宋_GB2312"/>
                <w:sz w:val="28"/>
                <w:color w:val="000000"/>
              </w:rPr>
              <w:t>基本情况；</w:t>
            </w:r>
          </w:p>
          <w:p>
            <w:pPr>
              <w:pStyle w:val="null3"/>
              <w:ind w:firstLine="560"/>
              <w:jc w:val="left"/>
            </w:pPr>
            <w:r>
              <w:rPr>
                <w:rFonts w:ascii="仿宋_GB2312" w:hAnsi="仿宋_GB2312" w:cs="仿宋_GB2312" w:eastAsia="仿宋_GB2312"/>
                <w:sz w:val="28"/>
                <w:color w:val="000000"/>
              </w:rPr>
              <w:t>2、对河流评价涉及的各项指标开展现场调查、取样试验、必要的监测工作；</w:t>
            </w:r>
          </w:p>
          <w:p>
            <w:pPr>
              <w:pStyle w:val="null3"/>
              <w:ind w:firstLine="560"/>
              <w:jc w:val="left"/>
            </w:pPr>
            <w:r>
              <w:rPr>
                <w:rFonts w:ascii="仿宋_GB2312" w:hAnsi="仿宋_GB2312" w:cs="仿宋_GB2312" w:eastAsia="仿宋_GB2312"/>
                <w:sz w:val="28"/>
                <w:color w:val="000000"/>
              </w:rPr>
              <w:t>3、分析评价</w:t>
            </w:r>
            <w:r>
              <w:rPr>
                <w:rFonts w:ascii="仿宋_GB2312" w:hAnsi="仿宋_GB2312" w:cs="仿宋_GB2312" w:eastAsia="仿宋_GB2312"/>
                <w:sz w:val="28"/>
                <w:color w:val="000000"/>
              </w:rPr>
              <w:t>漆水河</w:t>
            </w:r>
            <w:r>
              <w:rPr>
                <w:rFonts w:ascii="仿宋_GB2312" w:hAnsi="仿宋_GB2312" w:cs="仿宋_GB2312" w:eastAsia="仿宋_GB2312"/>
                <w:sz w:val="28"/>
                <w:color w:val="000000"/>
              </w:rPr>
              <w:t>、</w:t>
            </w:r>
            <w:r>
              <w:rPr>
                <w:rFonts w:ascii="仿宋_GB2312" w:hAnsi="仿宋_GB2312" w:cs="仿宋_GB2312" w:eastAsia="仿宋_GB2312"/>
                <w:sz w:val="28"/>
                <w:color w:val="000000"/>
              </w:rPr>
              <w:t>武家河、清河</w:t>
            </w:r>
            <w:r>
              <w:rPr>
                <w:rFonts w:ascii="仿宋_GB2312" w:hAnsi="仿宋_GB2312" w:cs="仿宋_GB2312" w:eastAsia="仿宋_GB2312"/>
                <w:sz w:val="28"/>
                <w:color w:val="000000"/>
              </w:rPr>
              <w:t>健康状况；</w:t>
            </w:r>
          </w:p>
          <w:p>
            <w:pPr>
              <w:pStyle w:val="null3"/>
              <w:ind w:firstLine="560"/>
              <w:jc w:val="left"/>
            </w:pPr>
            <w:r>
              <w:rPr>
                <w:rFonts w:ascii="仿宋_GB2312" w:hAnsi="仿宋_GB2312" w:cs="仿宋_GB2312" w:eastAsia="仿宋_GB2312"/>
                <w:sz w:val="28"/>
                <w:color w:val="000000"/>
              </w:rPr>
              <w:t>4、梳理分析河流存在的问题，提出河流保护的对策建议；</w:t>
            </w:r>
          </w:p>
          <w:p>
            <w:pPr>
              <w:pStyle w:val="null3"/>
              <w:ind w:firstLine="560"/>
              <w:jc w:val="left"/>
            </w:pPr>
            <w:r>
              <w:rPr>
                <w:rFonts w:ascii="仿宋_GB2312" w:hAnsi="仿宋_GB2312" w:cs="仿宋_GB2312" w:eastAsia="仿宋_GB2312"/>
                <w:sz w:val="28"/>
                <w:color w:val="000000"/>
              </w:rPr>
              <w:t>5、编制提供</w:t>
            </w:r>
            <w:r>
              <w:rPr>
                <w:rFonts w:ascii="仿宋_GB2312" w:hAnsi="仿宋_GB2312" w:cs="仿宋_GB2312" w:eastAsia="仿宋_GB2312"/>
                <w:sz w:val="28"/>
                <w:color w:val="000000"/>
              </w:rPr>
              <w:t>铜川市漆水河</w:t>
            </w:r>
            <w:r>
              <w:rPr>
                <w:rFonts w:ascii="仿宋_GB2312" w:hAnsi="仿宋_GB2312" w:cs="仿宋_GB2312" w:eastAsia="仿宋_GB2312"/>
                <w:sz w:val="28"/>
                <w:color w:val="000000"/>
              </w:rPr>
              <w:t>、</w:t>
            </w:r>
            <w:r>
              <w:rPr>
                <w:rFonts w:ascii="仿宋_GB2312" w:hAnsi="仿宋_GB2312" w:cs="仿宋_GB2312" w:eastAsia="仿宋_GB2312"/>
                <w:sz w:val="28"/>
                <w:color w:val="000000"/>
              </w:rPr>
              <w:t>武家河、清河</w:t>
            </w:r>
            <w:r>
              <w:rPr>
                <w:rFonts w:ascii="仿宋_GB2312" w:hAnsi="仿宋_GB2312" w:cs="仿宋_GB2312" w:eastAsia="仿宋_GB2312"/>
                <w:sz w:val="28"/>
                <w:color w:val="000000"/>
              </w:rPr>
              <w:t>健康评价报告。</w:t>
            </w:r>
          </w:p>
          <w:p>
            <w:pPr>
              <w:pStyle w:val="null3"/>
              <w:ind w:firstLine="560"/>
              <w:jc w:val="left"/>
            </w:pPr>
            <w:r>
              <w:rPr>
                <w:rFonts w:ascii="仿宋_GB2312" w:hAnsi="仿宋_GB2312" w:cs="仿宋_GB2312" w:eastAsia="仿宋_GB2312"/>
                <w:sz w:val="28"/>
                <w:color w:val="000000"/>
              </w:rPr>
              <w:t>二</w:t>
            </w:r>
            <w:r>
              <w:rPr>
                <w:rFonts w:ascii="仿宋_GB2312" w:hAnsi="仿宋_GB2312" w:cs="仿宋_GB2312" w:eastAsia="仿宋_GB2312"/>
                <w:sz w:val="28"/>
                <w:color w:val="000000"/>
              </w:rPr>
              <w:t>、成果要求</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1、成果文件的组成:成果报告、图件等；</w:t>
            </w:r>
          </w:p>
          <w:p>
            <w:pPr>
              <w:pStyle w:val="null3"/>
              <w:ind w:firstLine="560"/>
              <w:jc w:val="left"/>
            </w:pPr>
            <w:r>
              <w:rPr>
                <w:rFonts w:ascii="仿宋_GB2312" w:hAnsi="仿宋_GB2312" w:cs="仿宋_GB2312" w:eastAsia="仿宋_GB2312"/>
                <w:sz w:val="28"/>
                <w:color w:val="000000"/>
              </w:rPr>
              <w:t>2、成果文件的深度:达到国家和地方现行有关技术标准与规范的要求；</w:t>
            </w:r>
          </w:p>
          <w:p>
            <w:pPr>
              <w:pStyle w:val="null3"/>
              <w:ind w:firstLine="560"/>
              <w:jc w:val="left"/>
            </w:pPr>
            <w:r>
              <w:rPr>
                <w:rFonts w:ascii="仿宋_GB2312" w:hAnsi="仿宋_GB2312" w:cs="仿宋_GB2312" w:eastAsia="仿宋_GB2312"/>
                <w:sz w:val="28"/>
                <w:color w:val="000000"/>
              </w:rPr>
              <w:t>3、成果文件的格式要求:文字内容可采用word和</w:t>
            </w:r>
            <w:r>
              <w:rPr>
                <w:rFonts w:ascii="仿宋_GB2312" w:hAnsi="仿宋_GB2312" w:cs="仿宋_GB2312" w:eastAsia="仿宋_GB2312"/>
                <w:sz w:val="28"/>
                <w:color w:val="000000"/>
              </w:rPr>
              <w:t>PDF两种格式。全部设计成果均应制作成计算机文件，刻入光盘或U盘；</w:t>
            </w:r>
          </w:p>
          <w:p>
            <w:pPr>
              <w:pStyle w:val="null3"/>
              <w:ind w:firstLine="560"/>
              <w:jc w:val="left"/>
            </w:pPr>
            <w:r>
              <w:rPr>
                <w:rFonts w:ascii="仿宋_GB2312" w:hAnsi="仿宋_GB2312" w:cs="仿宋_GB2312" w:eastAsia="仿宋_GB2312"/>
                <w:sz w:val="28"/>
                <w:color w:val="000000"/>
              </w:rPr>
              <w:t>4、成果文件的载体要求:</w:t>
            </w:r>
          </w:p>
          <w:p>
            <w:pPr>
              <w:pStyle w:val="null3"/>
              <w:ind w:firstLine="560"/>
              <w:jc w:val="left"/>
            </w:pPr>
            <w:r>
              <w:rPr>
                <w:rFonts w:ascii="仿宋_GB2312" w:hAnsi="仿宋_GB2312" w:cs="仿宋_GB2312" w:eastAsia="仿宋_GB2312"/>
                <w:sz w:val="28"/>
                <w:color w:val="000000"/>
              </w:rPr>
              <w:t>(1)纸质版的要求:标准图纸打印，胶装，10份；</w:t>
            </w:r>
          </w:p>
          <w:p>
            <w:pPr>
              <w:pStyle w:val="null3"/>
              <w:ind w:firstLine="560"/>
              <w:jc w:val="left"/>
            </w:pPr>
            <w:r>
              <w:rPr>
                <w:rFonts w:ascii="仿宋_GB2312" w:hAnsi="仿宋_GB2312" w:cs="仿宋_GB2312" w:eastAsia="仿宋_GB2312"/>
                <w:sz w:val="28"/>
                <w:color w:val="000000"/>
              </w:rPr>
              <w:t>(2)电子版的要求:光盘或U盘。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符合国家及行业标准，通过技术审查。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成果资料验收合格并交付后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合同生效后，甲乙双方应按合同规定认真履约。合同履约责任只涉及合同甲乙双 方，不考虑第三方因素。 除不可抗力原因外，如遇下列情况之一者，甲方有权扣除合同金额的5%，作为对甲方的赔偿，且甲方有权解除本合同:(1)合同签订后不能按合同时限要求完成项目内容;(2)所提供成本文件不符合要求;(3)不能按合同履约;(4)因服务质量原因，不能通过验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 其他组织应提供合法登记证明文件； 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法定代表人直接参加磋商的，须出具法人身份证明，并与营业执照上信息一致；被授权人参加磋商的，须出具法定代表人授权书、被授权人身份证。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-2024年度任意一年经财务审计机构出具的财务审计报告（至少包括资产负债表和利润表，成立时间至提交响应文件截止时间不足一年的可提供成立后任意时段的资产负债表），或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提供供应商开标前六个月至今已缴存的至少一个月的城镇职工基本养老保险参保缴费证明，依法不需要缴纳社会保障资金的单位应提供相关证明材料。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提供供应商开标前六个月至今已缴纳的至少一个月的纳税证明或完税证明（提供增值税、企业所得税至少一种）, 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 网站（ www.creditchina.gov.cn）（中国执行信息公开网）中列入失信被执行人和重大税收违法失信主 体名单的供应商，不得为“ 中国政府采购网” 网站（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中小企业声明函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其他资料.docx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同时满足以下条款：（1）报价唯一 （2）未超出采购 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投标文件商务要求未出现重大负偏离</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其他资料.docx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1、技术方案符合国家相关要求，内容全面完整，科学合理，语言通顺简练，具有较强的针对性和适宜性，得(15-20]； 2、技术方案符合国家相关要求，内容基本齐全，语言表述基本清晰，只存在个别不影响整体质量的缺陷，得(10-15]； 3、技术方案基本符合国家相关要求，局部内容有少量欠缺，语言表述存在个别不清晰现象，得(5-10]； 4、技术方案存在多处不符合相关要求，内容及设计存在严重缺陷，得[0-5]； 5、未提供不计分。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 系及保障措 施</w:t>
            </w:r>
          </w:p>
        </w:tc>
        <w:tc>
          <w:tcPr>
            <w:tcW w:type="dxa" w:w="2492"/>
          </w:tcPr>
          <w:p>
            <w:pPr>
              <w:pStyle w:val="null3"/>
            </w:pPr>
            <w:r>
              <w:rPr>
                <w:rFonts w:ascii="仿宋_GB2312" w:hAnsi="仿宋_GB2312" w:cs="仿宋_GB2312" w:eastAsia="仿宋_GB2312"/>
              </w:rPr>
              <w:t>1、项目质量管理体系健全，质量保障措施得当、有针对性，得(8-10]分； 2、项目质量管理体系基本健全，进度保障措施基本得当、基本有针对性，得(6-8]分； 3、项目质量管理体系及进度保障措施存在不足，得(3-6]分； 4、项目质量管理体系及进度保障措施多处不符合项目实际，得[0-3]分；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 保障措施</w:t>
            </w:r>
          </w:p>
        </w:tc>
        <w:tc>
          <w:tcPr>
            <w:tcW w:type="dxa" w:w="2492"/>
          </w:tcPr>
          <w:p>
            <w:pPr>
              <w:pStyle w:val="null3"/>
            </w:pPr>
            <w:r>
              <w:rPr>
                <w:rFonts w:ascii="仿宋_GB2312" w:hAnsi="仿宋_GB2312" w:cs="仿宋_GB2312" w:eastAsia="仿宋_GB2312"/>
              </w:rPr>
              <w:t>1、能够按时完成项目各项任务，且项目进度计划符合实际、科学完整，保证措施严谨、周密，得(8-10]分: 2、能够按时完成各项任务，且项目进度计划安排合理，保证措施得当、可操作，得(6-8]分: 3、能够完成按时完成各项任务，但进度计划安排存在局部不足保证措施有缺漏，但基本可行，得(3-6]分: 4、能够按时完成各项任务，但进度计划安排不符合实际要求存在严重不足,保证措施多处有较大的缺陷，可行性差,得[0-3]分；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1、保密制度健全、措施具体可行，得(6-8]； 2、基本健全、措施基本可行，得(3-6]； 3、保密措施有明显缺陷，得[0-3]；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重点工作环 节实施方法</w:t>
            </w:r>
          </w:p>
        </w:tc>
        <w:tc>
          <w:tcPr>
            <w:tcW w:type="dxa" w:w="2492"/>
          </w:tcPr>
          <w:p>
            <w:pPr>
              <w:pStyle w:val="null3"/>
            </w:pPr>
            <w:r>
              <w:rPr>
                <w:rFonts w:ascii="仿宋_GB2312" w:hAnsi="仿宋_GB2312" w:cs="仿宋_GB2312" w:eastAsia="仿宋_GB2312"/>
              </w:rPr>
              <w:t>1、重点工作环节全面把握，实施方法科学、合理、可行性强，得(8-10]； 2、重点工作环节把握较全面，实施方法的科学性、合理性、可行性一般，得(4-8]； 3、重点工作环节把握不清，实施方法的科学性、合理性、可行性较差，得[0-4]；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项目的专业 人员组成情况</w:t>
            </w:r>
          </w:p>
        </w:tc>
        <w:tc>
          <w:tcPr>
            <w:tcW w:type="dxa" w:w="2492"/>
          </w:tcPr>
          <w:p>
            <w:pPr>
              <w:pStyle w:val="null3"/>
            </w:pPr>
            <w:r>
              <w:rPr>
                <w:rFonts w:ascii="仿宋_GB2312" w:hAnsi="仿宋_GB2312" w:cs="仿宋_GB2312" w:eastAsia="仿宋_GB2312"/>
              </w:rPr>
              <w:t xml:space="preserve"> 拟负责本次项目的专业人员组成情况(包括不限于人员历简介、承担过项目介绍和在职证明等)。 1、人员分工明确且配备充足，完全满足本项目采购需求计(4-7]分； 2、人员分工相对明确且配备基本充足、基本满足本项目采购需求计[0-4]分； 3、未提供不计分。 注：提供证明材料不限于身份证、学历证、资格证、完成过的项目合同复印件等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项目投入设备情况</w:t>
            </w:r>
          </w:p>
        </w:tc>
        <w:tc>
          <w:tcPr>
            <w:tcW w:type="dxa" w:w="2492"/>
          </w:tcPr>
          <w:p>
            <w:pPr>
              <w:pStyle w:val="null3"/>
            </w:pPr>
            <w:r>
              <w:rPr>
                <w:rFonts w:ascii="仿宋_GB2312" w:hAnsi="仿宋_GB2312" w:cs="仿宋_GB2312" w:eastAsia="仿宋_GB2312"/>
              </w:rPr>
              <w:t>根据供应商提供的设备(包括但不限于种类、规格、数量、渠道、用途、安全性能、精准度等)进行打分: 1、设备合理、规格完整、数量齐全、渠道正规、用途全面、安全性高、精准度高的得（5-7]分； 2、设备较合理、规格较完整、数量较齐全、渠道正规、用途较全面、安全性较好、精准度一般的得（3-5]分； 3、设备不合理、规格不完整数量不齐全、渠道不正规、用途不全面、安全性低、精准度低的得[0-3]分； 4、未提供不计分。 注:提供证明材料不限于设备检测报告、设备图片、购买发票或租赁合同等。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供应商须确保提供相应服务承诺和保证措施，且有具体的服务措施及针对突发状况的后期跟进服务能力。承诺及措施完整. 1、符合采购人要求计(3-5]分； 2、承诺及措施基本满足项目需求计[0-3]分；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提供针对本项目的合理化建议。 1、内容可行、合理计(2-4]分； 2、内容可行、较合理计[0-2]分； 3、未提供不计分。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提供供应商2022年1月1日至今类似项目合同(以合同签订日期为准)，每提供1个得2分，最高得4分，未提供不计分。备注:以合同复印件加盖公章为准。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1、满足磋商文件要求且最后报价最低的供应商的价格为磋商基准价其价格分为满分。其他供应商的价格分统一按照下列公式计算:磋商报价得分=(磋商基准价/最后磋商报价)x价格杈值 2、价格评审过程中，不得去掉最后报价中的最高报价和最低报价。 注:(1)根据《财政部关于进一步加大政府采购支持中小企业力度的通知》的通知-财库(2022)19号的相关规定，对小型和微型企业的价格给予10%的扣除，用扣除后的价格参与评审。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