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版本号：GZH-ZB-20251006820251027002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铜川市智慧教育大数据管理项目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GZH-ZB-202510068</w:t>
      </w:r>
      <w:r>
        <w:br/>
      </w:r>
      <w:r>
        <w:br/>
      </w:r>
      <w:r>
        <w:br/>
      </w:r>
    </w:p>
    <w:p>
      <w:pPr>
        <w:pStyle w:val="null3"/>
        <w:jc w:val="center"/>
        <w:outlineLvl w:val="2"/>
      </w:pPr>
      <w:r>
        <w:rPr>
          <w:rFonts w:ascii="仿宋_GB2312" w:hAnsi="仿宋_GB2312" w:cs="仿宋_GB2312" w:eastAsia="仿宋_GB2312"/>
          <w:sz w:val="28"/>
          <w:b/>
        </w:rPr>
        <w:t>铜川市教育局</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铜川市教育局</w:t>
      </w:r>
      <w:r>
        <w:rPr>
          <w:rFonts w:ascii="仿宋_GB2312" w:hAnsi="仿宋_GB2312" w:cs="仿宋_GB2312" w:eastAsia="仿宋_GB2312"/>
        </w:rPr>
        <w:t>委托，拟对</w:t>
      </w:r>
      <w:r>
        <w:rPr>
          <w:rFonts w:ascii="仿宋_GB2312" w:hAnsi="仿宋_GB2312" w:cs="仿宋_GB2312" w:eastAsia="仿宋_GB2312"/>
        </w:rPr>
        <w:t>铜川市智慧教育大数据管理项目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GZH-ZB-202510068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铜川市智慧教育大数据管理项目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智慧教育大数据管理项目的实施通过数据治理和资源统筹可实现教育治理体系的现代化升级，大幅提升教育的信息化水平，确保教育资源的公平分配和有效利用，适应教育数字化转型趋势。主要内容包括智慧教育大数据驾驶舱，学业质量检测大数据管理系统，教师全息画像系统，大屏幕显示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②可提供截至响应文件提交截止日一年内银行出具的资信证明（以上两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 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铜川新区斯明街7号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郝彦宁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0919-3198220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采购包1：1,946,700.00元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室内全彩LED显示屏、控制电脑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室内全彩LED显示屏、控制电脑</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财政部颁发的《政府采购代理机构管理暂行办法》(财库〔2018〕2号)的有关规定执行，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铜川市教育局</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符合国家/行业相关标准及规范以及采购人要求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智慧教育大数据管理项目的实施通过数据治理和资源统筹可实现教育治理体系的现代化升级，大幅提升教育的信息化水平，确保教育资源的公平分配和有效利用，适应教育数字化转型趋势。主要内容包括智慧教育大数据驾驶舱，学业质量检测大数据管理系统，教师全息画像系统，大屏幕显示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1,946,700.00</w:t>
      </w:r>
    </w:p>
    <w:p>
      <w:pPr>
        <w:pStyle w:val="null3"/>
      </w:pPr>
      <w:r>
        <w:rPr>
          <w:rFonts w:ascii="仿宋_GB2312" w:hAnsi="仿宋_GB2312" w:cs="仿宋_GB2312" w:eastAsia="仿宋_GB2312"/>
        </w:rPr>
        <w:t>采购包最高限价（元）: 1,946,700.00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教育服务项目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1,946,700.00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标的名称：教育服务项目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3"/>
              <w:gridCol w:w="235"/>
              <w:gridCol w:w="1740"/>
              <w:gridCol w:w="230"/>
              <w:gridCol w:w="189"/>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w:t>
                  </w:r>
                </w:p>
                <w:p>
                  <w:pPr>
                    <w:pStyle w:val="null3"/>
                    <w:jc w:val="center"/>
                  </w:pPr>
                  <w:r>
                    <w:rPr>
                      <w:rFonts w:ascii="仿宋_GB2312" w:hAnsi="仿宋_GB2312" w:cs="仿宋_GB2312" w:eastAsia="仿宋_GB2312"/>
                      <w:sz w:val="21"/>
                      <w:b/>
                    </w:rPr>
                    <w:t>名称</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19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智慧教育大数据驾驶舱</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区域整体数据驾驶舱</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铜川市智慧教育大数据驾驶舱依托于铜川市教育云平台，通过集成联考系统、智慧课堂、教育事业统计数据等信息化系统数据，完成全市教育数据驾驶舱建设。支持按学年、学期等维度进行数据统计。整合铜川市教育云数据洞察系统以及教育事业统计系统，实现详细数据展示一键查看。需支持多级角色数据权限限制，对应角色仅可查看本级辖区范围内数据；</w:t>
                  </w:r>
                </w:p>
                <w:p>
                  <w:pPr>
                    <w:pStyle w:val="null3"/>
                    <w:jc w:val="both"/>
                  </w:pPr>
                  <w:r>
                    <w:rPr>
                      <w:rFonts w:ascii="仿宋_GB2312" w:hAnsi="仿宋_GB2312" w:cs="仿宋_GB2312" w:eastAsia="仿宋_GB2312"/>
                      <w:sz w:val="21"/>
                    </w:rPr>
                    <w:t>2.需支持备课情况展示；</w:t>
                  </w:r>
                </w:p>
                <w:p>
                  <w:pPr>
                    <w:pStyle w:val="null3"/>
                    <w:jc w:val="both"/>
                  </w:pPr>
                  <w:r>
                    <w:rPr>
                      <w:rFonts w:ascii="仿宋_GB2312" w:hAnsi="仿宋_GB2312" w:cs="仿宋_GB2312" w:eastAsia="仿宋_GB2312"/>
                      <w:sz w:val="21"/>
                    </w:rPr>
                    <w:t>3.需支持对教师使用智慧课堂进行备课的数据进行统计，展示备课参与率情况；</w:t>
                  </w:r>
                </w:p>
                <w:p>
                  <w:pPr>
                    <w:pStyle w:val="null3"/>
                    <w:jc w:val="both"/>
                  </w:pPr>
                  <w:r>
                    <w:rPr>
                      <w:rFonts w:ascii="仿宋_GB2312" w:hAnsi="仿宋_GB2312" w:cs="仿宋_GB2312" w:eastAsia="仿宋_GB2312"/>
                      <w:sz w:val="21"/>
                    </w:rPr>
                    <w:t>4.需支持展示学校的备课参与率及参与备课教师数，并展示学校排名；</w:t>
                  </w:r>
                </w:p>
                <w:p>
                  <w:pPr>
                    <w:pStyle w:val="null3"/>
                    <w:jc w:val="both"/>
                  </w:pPr>
                  <w:r>
                    <w:rPr>
                      <w:rFonts w:ascii="仿宋_GB2312" w:hAnsi="仿宋_GB2312" w:cs="仿宋_GB2312" w:eastAsia="仿宋_GB2312"/>
                      <w:sz w:val="21"/>
                    </w:rPr>
                    <w:t>5.需支持按学科查看教师备课数据，展示各个学科教师的人均备课时长；</w:t>
                  </w:r>
                </w:p>
                <w:p>
                  <w:pPr>
                    <w:pStyle w:val="null3"/>
                    <w:jc w:val="both"/>
                  </w:pPr>
                  <w:r>
                    <w:rPr>
                      <w:rFonts w:ascii="仿宋_GB2312" w:hAnsi="仿宋_GB2312" w:cs="仿宋_GB2312" w:eastAsia="仿宋_GB2312"/>
                      <w:sz w:val="21"/>
                    </w:rPr>
                    <w:t>6.需支持按年级查看教师备课数据，展示各个年级教师的人均备课时长以及占比，并需支持选择年级展示年级内各代课教师的人均备课时长；</w:t>
                  </w:r>
                </w:p>
                <w:p>
                  <w:pPr>
                    <w:pStyle w:val="null3"/>
                    <w:jc w:val="both"/>
                  </w:pPr>
                  <w:r>
                    <w:rPr>
                      <w:rFonts w:ascii="仿宋_GB2312" w:hAnsi="仿宋_GB2312" w:cs="仿宋_GB2312" w:eastAsia="仿宋_GB2312"/>
                      <w:sz w:val="21"/>
                    </w:rPr>
                    <w:t>7.需支持查看教师备课情况明细，展示教师姓名、学校、学科、班级基本信息以及备课时长；</w:t>
                  </w:r>
                </w:p>
                <w:p>
                  <w:pPr>
                    <w:pStyle w:val="null3"/>
                    <w:jc w:val="both"/>
                  </w:pPr>
                  <w:r>
                    <w:rPr>
                      <w:rFonts w:ascii="仿宋_GB2312" w:hAnsi="仿宋_GB2312" w:cs="仿宋_GB2312" w:eastAsia="仿宋_GB2312"/>
                      <w:sz w:val="21"/>
                    </w:rPr>
                    <w:t>8.需支持查看教师备课排行，展示备课时长的教师排名；</w:t>
                  </w:r>
                </w:p>
                <w:p>
                  <w:pPr>
                    <w:pStyle w:val="null3"/>
                    <w:jc w:val="both"/>
                  </w:pPr>
                  <w:r>
                    <w:rPr>
                      <w:rFonts w:ascii="仿宋_GB2312" w:hAnsi="仿宋_GB2312" w:cs="仿宋_GB2312" w:eastAsia="仿宋_GB2312"/>
                      <w:sz w:val="21"/>
                    </w:rPr>
                    <w:t>9.需支持查看利用平台授课情况展示；</w:t>
                  </w:r>
                </w:p>
                <w:p>
                  <w:pPr>
                    <w:pStyle w:val="null3"/>
                    <w:jc w:val="both"/>
                  </w:pPr>
                  <w:r>
                    <w:rPr>
                      <w:rFonts w:ascii="仿宋_GB2312" w:hAnsi="仿宋_GB2312" w:cs="仿宋_GB2312" w:eastAsia="仿宋_GB2312"/>
                      <w:sz w:val="21"/>
                    </w:rPr>
                    <w:t>10.需支持对教师使用智慧课堂进行授课的数据进行统计，展示授课参与率指标，以及授课参与率的计算方法和指标价值解读；</w:t>
                  </w:r>
                </w:p>
                <w:p>
                  <w:pPr>
                    <w:pStyle w:val="null3"/>
                    <w:jc w:val="both"/>
                  </w:pPr>
                  <w:r>
                    <w:rPr>
                      <w:rFonts w:ascii="仿宋_GB2312" w:hAnsi="仿宋_GB2312" w:cs="仿宋_GB2312" w:eastAsia="仿宋_GB2312"/>
                      <w:sz w:val="21"/>
                    </w:rPr>
                    <w:t>11.需支持对学校授课参与率进行排名，展示学校的授课参与率与参与授课教师数；</w:t>
                  </w:r>
                </w:p>
                <w:p>
                  <w:pPr>
                    <w:pStyle w:val="null3"/>
                    <w:jc w:val="both"/>
                  </w:pPr>
                  <w:r>
                    <w:rPr>
                      <w:rFonts w:ascii="仿宋_GB2312" w:hAnsi="仿宋_GB2312" w:cs="仿宋_GB2312" w:eastAsia="仿宋_GB2312"/>
                      <w:sz w:val="21"/>
                    </w:rPr>
                    <w:t>12.需支持对授课参与率变化趋势进行分析，使用图表展示每个月授课参与率数值，以及授课参与率均值；</w:t>
                  </w:r>
                </w:p>
                <w:p>
                  <w:pPr>
                    <w:pStyle w:val="null3"/>
                    <w:jc w:val="both"/>
                  </w:pPr>
                  <w:r>
                    <w:rPr>
                      <w:rFonts w:ascii="仿宋_GB2312" w:hAnsi="仿宋_GB2312" w:cs="仿宋_GB2312" w:eastAsia="仿宋_GB2312"/>
                      <w:sz w:val="21"/>
                    </w:rPr>
                    <w:t>13.需支持对不同年级、学科教师周均授课次数指标进行分析，展示教师在不同次数区间的人数分布，并提供建议区间；</w:t>
                  </w:r>
                </w:p>
                <w:p>
                  <w:pPr>
                    <w:pStyle w:val="null3"/>
                    <w:jc w:val="both"/>
                  </w:pPr>
                  <w:r>
                    <w:rPr>
                      <w:rFonts w:ascii="仿宋_GB2312" w:hAnsi="仿宋_GB2312" w:cs="仿宋_GB2312" w:eastAsia="仿宋_GB2312"/>
                      <w:sz w:val="21"/>
                    </w:rPr>
                    <w:t>14.需支持对授课时长指标进行分析，展示教师授课的课程处于不同时长区间的分布，并提供建议区间；</w:t>
                  </w:r>
                </w:p>
                <w:p>
                  <w:pPr>
                    <w:pStyle w:val="null3"/>
                    <w:jc w:val="both"/>
                  </w:pPr>
                  <w:r>
                    <w:rPr>
                      <w:rFonts w:ascii="仿宋_GB2312" w:hAnsi="仿宋_GB2312" w:cs="仿宋_GB2312" w:eastAsia="仿宋_GB2312"/>
                      <w:sz w:val="21"/>
                    </w:rPr>
                    <w:t>15.需支持联考情况展示；</w:t>
                  </w:r>
                </w:p>
                <w:p>
                  <w:pPr>
                    <w:pStyle w:val="null3"/>
                    <w:jc w:val="both"/>
                  </w:pPr>
                  <w:r>
                    <w:rPr>
                      <w:rFonts w:ascii="仿宋_GB2312" w:hAnsi="仿宋_GB2312" w:cs="仿宋_GB2312" w:eastAsia="仿宋_GB2312"/>
                      <w:sz w:val="21"/>
                    </w:rPr>
                    <w:t>16.需支持区域联考考试报告，如考试总人数、实考人数、缺考人数、统计人数、满分人数、零分人数、满分、平均分、最高分、最低分。并点击可查看整体报告情况，支持报告文档导出。</w:t>
                  </w:r>
                </w:p>
                <w:p>
                  <w:pPr>
                    <w:pStyle w:val="null3"/>
                    <w:jc w:val="both"/>
                  </w:pPr>
                  <w:r>
                    <w:rPr>
                      <w:rFonts w:ascii="仿宋_GB2312" w:hAnsi="仿宋_GB2312" w:cs="仿宋_GB2312" w:eastAsia="仿宋_GB2312"/>
                      <w:sz w:val="21"/>
                    </w:rPr>
                    <w:t>17.需支持区域联考科目考试报告，如考试总人数、实考人数、缺考人数、统计人数、满分人数、零分人数、满分、平均分、最高分、最低分、重点培优人数、重点培优率、后进生人数、后进生占比、难度题目比例、中等难度题目比例、简单题目比例。并点击可查看联考科目考试整体报告情况；</w:t>
                  </w:r>
                </w:p>
                <w:p>
                  <w:pPr>
                    <w:pStyle w:val="null3"/>
                    <w:jc w:val="both"/>
                  </w:pPr>
                  <w:r>
                    <w:rPr>
                      <w:rFonts w:ascii="仿宋_GB2312" w:hAnsi="仿宋_GB2312" w:cs="仿宋_GB2312" w:eastAsia="仿宋_GB2312"/>
                      <w:sz w:val="21"/>
                    </w:rPr>
                    <w:t>18.需支持教育事业统计展示；</w:t>
                  </w:r>
                </w:p>
                <w:p>
                  <w:pPr>
                    <w:pStyle w:val="null3"/>
                    <w:jc w:val="both"/>
                  </w:pPr>
                  <w:r>
                    <w:rPr>
                      <w:rFonts w:ascii="仿宋_GB2312" w:hAnsi="仿宋_GB2312" w:cs="仿宋_GB2312" w:eastAsia="仿宋_GB2312"/>
                      <w:sz w:val="21"/>
                    </w:rPr>
                    <w:t>19.需支持各级各类学校（园）情况统计，如城区、镇区、乡村的幼儿园、义务教育阶段、高中阶段、特殊教育和中等职业学校等统计数据。支持上级向下查看区县、学校统计数据。</w:t>
                  </w:r>
                </w:p>
                <w:p>
                  <w:pPr>
                    <w:pStyle w:val="null3"/>
                    <w:jc w:val="both"/>
                  </w:pPr>
                  <w:r>
                    <w:rPr>
                      <w:rFonts w:ascii="仿宋_GB2312" w:hAnsi="仿宋_GB2312" w:cs="仿宋_GB2312" w:eastAsia="仿宋_GB2312"/>
                      <w:sz w:val="21"/>
                    </w:rPr>
                    <w:t>20.需支持各级各类学校（园）情况统计，如毕业生人数（城区、镇区、乡村）、招生数（城区、镇区、乡村）、在校生数（城区、镇区、乡村）等情况分布；支持上级向下查看区县、学校统计数据。</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教育事业统计驾驶舱</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各级各类学校（园）教职工情况统计，如按照城区、镇区、乡村分类，教职工（城区、镇区、乡村）、专任教师（城区、镇区、乡村）在幼儿园、小学、小学教学点、初级中学、九年一贯制学校、高级中学、十二年一贯制学校、特殊教育、中等职业学校等学校分类情况统计；</w:t>
                  </w:r>
                </w:p>
                <w:p>
                  <w:pPr>
                    <w:pStyle w:val="null3"/>
                    <w:jc w:val="both"/>
                  </w:pPr>
                  <w:r>
                    <w:rPr>
                      <w:rFonts w:ascii="仿宋_GB2312" w:hAnsi="仿宋_GB2312" w:cs="仿宋_GB2312" w:eastAsia="仿宋_GB2312"/>
                      <w:sz w:val="21"/>
                    </w:rPr>
                    <w:t>2.需支持根据铜川市教育局教育事业综合统计调查综表，摘取铜川市各级教育事业统计数据，整理成铜川市各级教育事业统计分析资料；</w:t>
                  </w:r>
                </w:p>
                <w:p>
                  <w:pPr>
                    <w:pStyle w:val="null3"/>
                    <w:jc w:val="both"/>
                  </w:pPr>
                  <w:r>
                    <w:rPr>
                      <w:rFonts w:ascii="仿宋_GB2312" w:hAnsi="仿宋_GB2312" w:cs="仿宋_GB2312" w:eastAsia="仿宋_GB2312"/>
                      <w:sz w:val="21"/>
                    </w:rPr>
                    <w:t>3.需支持形成铜川市教育事业统计分析情况介绍；</w:t>
                  </w:r>
                </w:p>
                <w:p>
                  <w:pPr>
                    <w:pStyle w:val="null3"/>
                    <w:jc w:val="both"/>
                  </w:pPr>
                  <w:r>
                    <w:rPr>
                      <w:rFonts w:ascii="仿宋_GB2312" w:hAnsi="仿宋_GB2312" w:cs="仿宋_GB2312" w:eastAsia="仿宋_GB2312"/>
                      <w:sz w:val="21"/>
                    </w:rPr>
                    <w:t>4.需支持一键导入铜川市教育局教育事业综合统计调查综表和各学段学校一览表，形成铜川市各级各类学校（园）情况统计表、铜川市各级各类学校（园）学生情况统计表、铜川市各级各类学校（园）教职工情况统计表、铜川市基础教育校（园数统计表、铜川市基础教育班数统计表、铜川市基础教育学生数统计表、全市学前教育在园幼儿情况统计表、全市小学在校生情况统计表、全市初中在校生情况统计表、全市高中在校生情况统计表、全市小学寄宿生情况统计表、全市初中寄宿生情况统计表、全市高中寄宿生情况统计表、基础教育学校进城务工人员随迁子女、农村留守儿童、送教上门学生情况、基础教育学校学生变动情况统计表、基础教育学校在校生中死亡情况统计表、中小学校学生体质健康情况统计表、基础教育学校教职工数统计表、基础教育专任教师数统计表、幼儿园专任教师年龄、职称情况统计表、小学专任教师专业技术职务、年龄结构情况统计表、初中专任教师专业技术职务、年龄结构情况统计表、高中专任教师专业技术职务、年龄结构情况统计表、特殊教育专任教师分年龄职务情况统计表、基础教育专任教师学历情况统计表、中小学县级及以上骨干教师情况统计表、基础教育专任教师变动情况统计表、铜川市基础教育学校办学条件、全市中等职业学校情况统计表、全市民办教育学校基本情况统计表、全市部分学校情况统计表等31张统计报表；服务期内根据实际需要，增添、修订表单。</w:t>
                  </w:r>
                </w:p>
                <w:p>
                  <w:pPr>
                    <w:pStyle w:val="null3"/>
                    <w:jc w:val="both"/>
                  </w:pPr>
                  <w:r>
                    <w:rPr>
                      <w:rFonts w:ascii="仿宋_GB2312" w:hAnsi="仿宋_GB2312" w:cs="仿宋_GB2312" w:eastAsia="仿宋_GB2312"/>
                      <w:sz w:val="21"/>
                    </w:rPr>
                    <w:t>5.需支持统计报表下载；</w:t>
                  </w:r>
                </w:p>
                <w:p>
                  <w:pPr>
                    <w:pStyle w:val="null3"/>
                    <w:jc w:val="both"/>
                  </w:pPr>
                  <w:r>
                    <w:rPr>
                      <w:rFonts w:ascii="仿宋_GB2312" w:hAnsi="仿宋_GB2312" w:cs="仿宋_GB2312" w:eastAsia="仿宋_GB2312"/>
                      <w:sz w:val="21"/>
                    </w:rPr>
                    <w:t>6.需支持根据权限进行访问，支持用户名密码+动态验证码等双因子认证；</w:t>
                  </w:r>
                </w:p>
                <w:p>
                  <w:pPr>
                    <w:pStyle w:val="null3"/>
                    <w:jc w:val="both"/>
                  </w:pPr>
                  <w:r>
                    <w:rPr>
                      <w:rFonts w:ascii="仿宋_GB2312" w:hAnsi="仿宋_GB2312" w:cs="仿宋_GB2312" w:eastAsia="仿宋_GB2312"/>
                      <w:sz w:val="21"/>
                    </w:rPr>
                    <w:t>7.需支持市县管理员添加用户并赋予权限查看功能；</w:t>
                  </w:r>
                </w:p>
                <w:p>
                  <w:pPr>
                    <w:pStyle w:val="null3"/>
                    <w:jc w:val="both"/>
                  </w:pPr>
                  <w:r>
                    <w:rPr>
                      <w:rFonts w:ascii="仿宋_GB2312" w:hAnsi="仿宋_GB2312" w:cs="仿宋_GB2312" w:eastAsia="仿宋_GB2312"/>
                      <w:sz w:val="21"/>
                    </w:rPr>
                    <w:t>8.需支持市县管理员启用/禁用用户登录权限；</w:t>
                  </w:r>
                </w:p>
                <w:p>
                  <w:pPr>
                    <w:pStyle w:val="null3"/>
                    <w:jc w:val="both"/>
                  </w:pPr>
                  <w:r>
                    <w:rPr>
                      <w:rFonts w:ascii="仿宋_GB2312" w:hAnsi="仿宋_GB2312" w:cs="仿宋_GB2312" w:eastAsia="仿宋_GB2312"/>
                      <w:sz w:val="21"/>
                    </w:rPr>
                    <w:t>9.需支持保留用户行为操作日志；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中高考成绩分析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1.支持导入中考、高考成绩；</w:t>
                  </w:r>
                </w:p>
                <w:p>
                  <w:pPr>
                    <w:pStyle w:val="null3"/>
                    <w:jc w:val="both"/>
                  </w:pPr>
                  <w:r>
                    <w:rPr>
                      <w:rFonts w:ascii="仿宋_GB2312" w:hAnsi="仿宋_GB2312" w:cs="仿宋_GB2312" w:eastAsia="仿宋_GB2312"/>
                      <w:sz w:val="21"/>
                    </w:rPr>
                    <w:t>2.支持按市、校、班不同层级下钻对比学科成绩；</w:t>
                  </w:r>
                </w:p>
                <w:p>
                  <w:pPr>
                    <w:pStyle w:val="null3"/>
                    <w:jc w:val="both"/>
                  </w:pPr>
                  <w:r>
                    <w:rPr>
                      <w:rFonts w:ascii="仿宋_GB2312" w:hAnsi="仿宋_GB2312" w:cs="仿宋_GB2312" w:eastAsia="仿宋_GB2312"/>
                      <w:sz w:val="21"/>
                    </w:rPr>
                    <w:t>3.支持一键导出成绩数据；</w:t>
                  </w:r>
                </w:p>
                <w:p>
                  <w:pPr>
                    <w:pStyle w:val="null3"/>
                    <w:jc w:val="both"/>
                  </w:pPr>
                  <w:r>
                    <w:rPr>
                      <w:rFonts w:ascii="仿宋_GB2312" w:hAnsi="仿宋_GB2312" w:cs="仿宋_GB2312" w:eastAsia="仿宋_GB2312"/>
                      <w:sz w:val="21"/>
                    </w:rPr>
                    <w:t>4.支持查看全市总分达线情况及目标完成情况；</w:t>
                  </w:r>
                </w:p>
                <w:p>
                  <w:pPr>
                    <w:pStyle w:val="null3"/>
                    <w:jc w:val="both"/>
                  </w:pPr>
                  <w:r>
                    <w:rPr>
                      <w:rFonts w:ascii="仿宋_GB2312" w:hAnsi="仿宋_GB2312" w:cs="仿宋_GB2312" w:eastAsia="仿宋_GB2312"/>
                      <w:sz w:val="21"/>
                    </w:rPr>
                    <w:t>5.支持总分达线及目标完成情况按区域、学校、班级不同层级逐层下钻查看；</w:t>
                  </w:r>
                </w:p>
                <w:p>
                  <w:pPr>
                    <w:pStyle w:val="null3"/>
                    <w:jc w:val="both"/>
                  </w:pPr>
                  <w:r>
                    <w:rPr>
                      <w:rFonts w:ascii="仿宋_GB2312" w:hAnsi="仿宋_GB2312" w:cs="仿宋_GB2312" w:eastAsia="仿宋_GB2312"/>
                      <w:sz w:val="21"/>
                    </w:rPr>
                    <w:t>6.支持自定义设置达线分档；支持设置区域、学校、班级各档达线目标人数；</w:t>
                  </w:r>
                </w:p>
                <w:p>
                  <w:pPr>
                    <w:pStyle w:val="null3"/>
                    <w:jc w:val="both"/>
                  </w:pPr>
                  <w:r>
                    <w:rPr>
                      <w:rFonts w:ascii="仿宋_GB2312" w:hAnsi="仿宋_GB2312" w:cs="仿宋_GB2312" w:eastAsia="仿宋_GB2312"/>
                      <w:sz w:val="21"/>
                    </w:rPr>
                    <w:t>7.支持查看全市单学科达线情况；</w:t>
                  </w:r>
                </w:p>
                <w:p>
                  <w:pPr>
                    <w:pStyle w:val="null3"/>
                    <w:jc w:val="both"/>
                  </w:pPr>
                  <w:r>
                    <w:rPr>
                      <w:rFonts w:ascii="仿宋_GB2312" w:hAnsi="仿宋_GB2312" w:cs="仿宋_GB2312" w:eastAsia="仿宋_GB2312"/>
                      <w:sz w:val="21"/>
                    </w:rPr>
                    <w:t>8.支持单学科达线情况按全市、学校、班级不同层级逐层下钻；</w:t>
                  </w:r>
                </w:p>
                <w:p>
                  <w:pPr>
                    <w:pStyle w:val="null3"/>
                    <w:jc w:val="both"/>
                  </w:pPr>
                  <w:r>
                    <w:rPr>
                      <w:rFonts w:ascii="仿宋_GB2312" w:hAnsi="仿宋_GB2312" w:cs="仿宋_GB2312" w:eastAsia="仿宋_GB2312"/>
                      <w:sz w:val="21"/>
                    </w:rPr>
                    <w:t>9.支持查看单科短板学生详细信息；</w:t>
                  </w:r>
                </w:p>
                <w:p>
                  <w:pPr>
                    <w:pStyle w:val="null3"/>
                    <w:jc w:val="both"/>
                  </w:pPr>
                  <w:r>
                    <w:rPr>
                      <w:rFonts w:ascii="仿宋_GB2312" w:hAnsi="仿宋_GB2312" w:cs="仿宋_GB2312" w:eastAsia="仿宋_GB2312"/>
                      <w:sz w:val="21"/>
                    </w:rPr>
                    <w:t>10.支持自定义设置各分档单科分数线，设置总分分数后支持自动计算各单科分数线；</w:t>
                  </w:r>
                </w:p>
                <w:p>
                  <w:pPr>
                    <w:pStyle w:val="null3"/>
                    <w:jc w:val="both"/>
                  </w:pPr>
                  <w:r>
                    <w:rPr>
                      <w:rFonts w:ascii="仿宋_GB2312" w:hAnsi="仿宋_GB2312" w:cs="仿宋_GB2312" w:eastAsia="仿宋_GB2312"/>
                      <w:sz w:val="21"/>
                    </w:rPr>
                    <w:t>11.支持选科科目以原始分、转换分两种方式进行总分及排名计算；</w:t>
                  </w:r>
                </w:p>
                <w:p>
                  <w:pPr>
                    <w:pStyle w:val="null3"/>
                    <w:jc w:val="both"/>
                  </w:pPr>
                  <w:r>
                    <w:rPr>
                      <w:rFonts w:ascii="仿宋_GB2312" w:hAnsi="仿宋_GB2312" w:cs="仿宋_GB2312" w:eastAsia="仿宋_GB2312"/>
                      <w:sz w:val="21"/>
                    </w:rPr>
                    <w:t>12.支持总分成绩及单科成绩按市、学校、班级不同层级逐级下钻查看；</w:t>
                  </w:r>
                </w:p>
                <w:p>
                  <w:pPr>
                    <w:pStyle w:val="null3"/>
                    <w:jc w:val="both"/>
                  </w:pPr>
                  <w:r>
                    <w:rPr>
                      <w:rFonts w:ascii="仿宋_GB2312" w:hAnsi="仿宋_GB2312" w:cs="仿宋_GB2312" w:eastAsia="仿宋_GB2312"/>
                      <w:sz w:val="21"/>
                    </w:rPr>
                    <w:t>13.支持全市、学校、班级各维度查看总分及各单学科数据总览。</w:t>
                  </w:r>
                </w:p>
                <w:p>
                  <w:pPr>
                    <w:pStyle w:val="null3"/>
                    <w:jc w:val="both"/>
                  </w:pPr>
                  <w:r>
                    <w:rPr>
                      <w:rFonts w:ascii="仿宋_GB2312" w:hAnsi="仿宋_GB2312" w:cs="仿宋_GB2312" w:eastAsia="仿宋_GB2312"/>
                      <w:sz w:val="21"/>
                    </w:rPr>
                    <w:t>14.支持优秀率、良好率、合格率、低分率、标准差的指标参数灵活设置。</w:t>
                  </w:r>
                </w:p>
                <w:p>
                  <w:pPr>
                    <w:pStyle w:val="null3"/>
                    <w:jc w:val="both"/>
                  </w:pPr>
                  <w:r>
                    <w:rPr>
                      <w:rFonts w:ascii="仿宋_GB2312" w:hAnsi="仿宋_GB2312" w:cs="仿宋_GB2312" w:eastAsia="仿宋_GB2312"/>
                      <w:sz w:val="21"/>
                    </w:rPr>
                    <w:t>15.支持查看全市、学校、班级维度的总分和各单学科学业等级分布；</w:t>
                  </w:r>
                </w:p>
                <w:p>
                  <w:pPr>
                    <w:pStyle w:val="null3"/>
                    <w:jc w:val="both"/>
                  </w:pPr>
                  <w:r>
                    <w:rPr>
                      <w:rFonts w:ascii="仿宋_GB2312" w:hAnsi="仿宋_GB2312" w:cs="仿宋_GB2312" w:eastAsia="仿宋_GB2312"/>
                      <w:sz w:val="21"/>
                    </w:rPr>
                    <w:t>16.支持查看全市、学校、班级维度的总分和各单学科成绩分段分布；</w:t>
                  </w:r>
                </w:p>
                <w:p>
                  <w:pPr>
                    <w:pStyle w:val="null3"/>
                    <w:jc w:val="both"/>
                  </w:pPr>
                  <w:r>
                    <w:rPr>
                      <w:rFonts w:ascii="仿宋_GB2312" w:hAnsi="仿宋_GB2312" w:cs="仿宋_GB2312" w:eastAsia="仿宋_GB2312"/>
                      <w:sz w:val="21"/>
                    </w:rPr>
                    <w:t>17.支持成绩分段分布按全市、学校、班级不同层级逐层下钻；</w:t>
                  </w:r>
                </w:p>
                <w:p>
                  <w:pPr>
                    <w:pStyle w:val="null3"/>
                    <w:jc w:val="both"/>
                  </w:pPr>
                  <w:r>
                    <w:rPr>
                      <w:rFonts w:ascii="仿宋_GB2312" w:hAnsi="仿宋_GB2312" w:cs="仿宋_GB2312" w:eastAsia="仿宋_GB2312"/>
                      <w:sz w:val="21"/>
                    </w:rPr>
                    <w:t>18.支持成绩分段分布可自由设置分数段，并可设置高分数段、低分数段；支持成绩分段分布以折线图、表格形式呈现；</w:t>
                  </w:r>
                </w:p>
                <w:p>
                  <w:pPr>
                    <w:pStyle w:val="null3"/>
                    <w:jc w:val="both"/>
                  </w:pPr>
                  <w:r>
                    <w:rPr>
                      <w:rFonts w:ascii="仿宋_GB2312" w:hAnsi="仿宋_GB2312" w:cs="仿宋_GB2312" w:eastAsia="仿宋_GB2312"/>
                      <w:sz w:val="21"/>
                    </w:rPr>
                    <w:t>19.支持查看全市、学校、班级维度的总分和各单学科的优秀生学困生分布；</w:t>
                  </w:r>
                </w:p>
                <w:p>
                  <w:pPr>
                    <w:pStyle w:val="null3"/>
                    <w:jc w:val="both"/>
                  </w:pPr>
                  <w:r>
                    <w:rPr>
                      <w:rFonts w:ascii="仿宋_GB2312" w:hAnsi="仿宋_GB2312" w:cs="仿宋_GB2312" w:eastAsia="仿宋_GB2312"/>
                      <w:sz w:val="21"/>
                    </w:rPr>
                    <w:t>20.支持查看优秀学生详细信息；</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19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学业质量检测大数据管理系统</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区域联考教研分析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1.支持选科科目（化学、生物、政治、地理）以原始分、转换分两种方式进行总分及排名计算；</w:t>
                  </w:r>
                </w:p>
                <w:p>
                  <w:pPr>
                    <w:pStyle w:val="null3"/>
                    <w:jc w:val="both"/>
                  </w:pPr>
                  <w:r>
                    <w:rPr>
                      <w:rFonts w:ascii="仿宋_GB2312" w:hAnsi="仿宋_GB2312" w:cs="仿宋_GB2312" w:eastAsia="仿宋_GB2312"/>
                      <w:sz w:val="21"/>
                    </w:rPr>
                    <w:t>2.支持联考总分成绩及单科成绩按全市、区县、学校、班级不同层级逐级下钻查看；</w:t>
                  </w:r>
                </w:p>
                <w:p>
                  <w:pPr>
                    <w:pStyle w:val="null3"/>
                    <w:jc w:val="both"/>
                  </w:pPr>
                  <w:r>
                    <w:rPr>
                      <w:rFonts w:ascii="仿宋_GB2312" w:hAnsi="仿宋_GB2312" w:cs="仿宋_GB2312" w:eastAsia="仿宋_GB2312"/>
                      <w:sz w:val="21"/>
                    </w:rPr>
                    <w:t>3.支持全市、区域、学校、班级各维度查看联考总分及各单学科数据总览，指标包括报名人数、实考人数、缺考人数、考试满分、最高分、最低分、平均分、优秀率、良好率、合格率、低分率、超均率、比均率、离均差、标准差、差异系数、优势系数；</w:t>
                  </w:r>
                </w:p>
                <w:p>
                  <w:pPr>
                    <w:pStyle w:val="null3"/>
                    <w:jc w:val="both"/>
                  </w:pPr>
                  <w:r>
                    <w:rPr>
                      <w:rFonts w:ascii="仿宋_GB2312" w:hAnsi="仿宋_GB2312" w:cs="仿宋_GB2312" w:eastAsia="仿宋_GB2312"/>
                      <w:sz w:val="21"/>
                    </w:rPr>
                    <w:t>4.支持设置优秀率、良好率、合格率、低分率、标准差的指标参数；</w:t>
                  </w:r>
                </w:p>
                <w:p>
                  <w:pPr>
                    <w:pStyle w:val="null3"/>
                    <w:jc w:val="both"/>
                  </w:pPr>
                  <w:r>
                    <w:rPr>
                      <w:rFonts w:ascii="仿宋_GB2312" w:hAnsi="仿宋_GB2312" w:cs="仿宋_GB2312" w:eastAsia="仿宋_GB2312"/>
                      <w:sz w:val="21"/>
                    </w:rPr>
                    <w:t>5.支持查看全市总分达线情况及目标完成情况，指标包括达线人数、达线率、目标人数、目标达线率、目标差额人数；</w:t>
                  </w:r>
                </w:p>
                <w:p>
                  <w:pPr>
                    <w:pStyle w:val="null3"/>
                    <w:jc w:val="both"/>
                  </w:pPr>
                  <w:r>
                    <w:rPr>
                      <w:rFonts w:ascii="仿宋_GB2312" w:hAnsi="仿宋_GB2312" w:cs="仿宋_GB2312" w:eastAsia="仿宋_GB2312"/>
                      <w:sz w:val="21"/>
                    </w:rPr>
                    <w:t>6.支持总分达线及目标完成情况按全市、区域、学校、班级不同层级逐层下钻查看；</w:t>
                  </w:r>
                </w:p>
                <w:p>
                  <w:pPr>
                    <w:pStyle w:val="null3"/>
                    <w:jc w:val="both"/>
                  </w:pPr>
                  <w:r>
                    <w:rPr>
                      <w:rFonts w:ascii="仿宋_GB2312" w:hAnsi="仿宋_GB2312" w:cs="仿宋_GB2312" w:eastAsia="仿宋_GB2312"/>
                      <w:sz w:val="21"/>
                    </w:rPr>
                    <w:t>7.支持自定义设置达线分档，指标包括各分档名称、各分档分数线；支持设置区域、学校、班级各档达线目标人数；</w:t>
                  </w:r>
                </w:p>
                <w:p>
                  <w:pPr>
                    <w:pStyle w:val="null3"/>
                    <w:jc w:val="both"/>
                  </w:pPr>
                  <w:r>
                    <w:rPr>
                      <w:rFonts w:ascii="仿宋_GB2312" w:hAnsi="仿宋_GB2312" w:cs="仿宋_GB2312" w:eastAsia="仿宋_GB2312"/>
                      <w:sz w:val="21"/>
                    </w:rPr>
                    <w:t>8.支持查看全市单学科达线情况，指标包括总分上线人数、单科上线人数、双上线人数、贡献率、命中率、单科短板人数；</w:t>
                  </w:r>
                </w:p>
                <w:p>
                  <w:pPr>
                    <w:pStyle w:val="null3"/>
                    <w:jc w:val="both"/>
                  </w:pPr>
                  <w:r>
                    <w:rPr>
                      <w:rFonts w:ascii="仿宋_GB2312" w:hAnsi="仿宋_GB2312" w:cs="仿宋_GB2312" w:eastAsia="仿宋_GB2312"/>
                      <w:sz w:val="21"/>
                    </w:rPr>
                    <w:t>9.支持单学科达线情况按全市、区域、学校、班级不同层级逐层下钻；</w:t>
                  </w:r>
                </w:p>
                <w:p>
                  <w:pPr>
                    <w:pStyle w:val="null3"/>
                    <w:jc w:val="both"/>
                  </w:pPr>
                  <w:r>
                    <w:rPr>
                      <w:rFonts w:ascii="仿宋_GB2312" w:hAnsi="仿宋_GB2312" w:cs="仿宋_GB2312" w:eastAsia="仿宋_GB2312"/>
                      <w:sz w:val="21"/>
                    </w:rPr>
                    <w:t>10.支持查看单科短板学生详细信息，查看信息包括学生姓名、所属学校、单学科得分及排名、总分及排名；</w:t>
                  </w:r>
                </w:p>
                <w:p>
                  <w:pPr>
                    <w:pStyle w:val="null3"/>
                    <w:jc w:val="both"/>
                  </w:pPr>
                  <w:r>
                    <w:rPr>
                      <w:rFonts w:ascii="仿宋_GB2312" w:hAnsi="仿宋_GB2312" w:cs="仿宋_GB2312" w:eastAsia="仿宋_GB2312"/>
                      <w:sz w:val="21"/>
                    </w:rPr>
                    <w:t>11.支持自定义设置各分档单科分数线，设置总分分数后支持自动计算各单科分数线；</w:t>
                  </w:r>
                </w:p>
                <w:p>
                  <w:pPr>
                    <w:pStyle w:val="null3"/>
                    <w:jc w:val="both"/>
                  </w:pPr>
                  <w:r>
                    <w:rPr>
                      <w:rFonts w:ascii="仿宋_GB2312" w:hAnsi="仿宋_GB2312" w:cs="仿宋_GB2312" w:eastAsia="仿宋_GB2312"/>
                      <w:sz w:val="21"/>
                    </w:rPr>
                    <w:t>12.支持查看全市、区域、学校、班级维度的总分和各单学科学业等级分布，指标包括各等级人数及比例、累计人数及比例；</w:t>
                  </w:r>
                </w:p>
                <w:p>
                  <w:pPr>
                    <w:pStyle w:val="null3"/>
                    <w:jc w:val="both"/>
                  </w:pPr>
                  <w:r>
                    <w:rPr>
                      <w:rFonts w:ascii="仿宋_GB2312" w:hAnsi="仿宋_GB2312" w:cs="仿宋_GB2312" w:eastAsia="仿宋_GB2312"/>
                      <w:sz w:val="21"/>
                    </w:rPr>
                    <w:t>13.支持查看全市、区域、学校、班级维度的总分和各单学科成绩分段分布，指标包括各分数段人数及比例、累计人数及比例；</w:t>
                  </w:r>
                </w:p>
                <w:p>
                  <w:pPr>
                    <w:pStyle w:val="null3"/>
                    <w:jc w:val="both"/>
                  </w:pPr>
                  <w:r>
                    <w:rPr>
                      <w:rFonts w:ascii="仿宋_GB2312" w:hAnsi="仿宋_GB2312" w:cs="仿宋_GB2312" w:eastAsia="仿宋_GB2312"/>
                      <w:sz w:val="21"/>
                    </w:rPr>
                    <w:t>14.支持成绩分段分布按全市、区域、学校、班级不同层级逐层下钻；</w:t>
                  </w:r>
                </w:p>
                <w:p>
                  <w:pPr>
                    <w:pStyle w:val="null3"/>
                    <w:jc w:val="both"/>
                  </w:pPr>
                  <w:r>
                    <w:rPr>
                      <w:rFonts w:ascii="仿宋_GB2312" w:hAnsi="仿宋_GB2312" w:cs="仿宋_GB2312" w:eastAsia="仿宋_GB2312"/>
                      <w:sz w:val="21"/>
                    </w:rPr>
                    <w:t>15.支持成绩分段分布可自由设置分数段，并可设置高分数段、低分数段；支持成绩分段分布以折线图、表格形式呈现；</w:t>
                  </w:r>
                </w:p>
                <w:p>
                  <w:pPr>
                    <w:pStyle w:val="null3"/>
                    <w:jc w:val="both"/>
                  </w:pPr>
                  <w:r>
                    <w:rPr>
                      <w:rFonts w:ascii="仿宋_GB2312" w:hAnsi="仿宋_GB2312" w:cs="仿宋_GB2312" w:eastAsia="仿宋_GB2312"/>
                      <w:sz w:val="21"/>
                    </w:rPr>
                    <w:t>16.支持查看全市、区域、学校、班级维度的总分和各单学科的优秀生学困生分布，指标包括人数及占比；</w:t>
                  </w:r>
                </w:p>
                <w:p>
                  <w:pPr>
                    <w:pStyle w:val="null3"/>
                    <w:jc w:val="both"/>
                  </w:pPr>
                  <w:r>
                    <w:rPr>
                      <w:rFonts w:ascii="仿宋_GB2312" w:hAnsi="仿宋_GB2312" w:cs="仿宋_GB2312" w:eastAsia="仿宋_GB2312"/>
                      <w:sz w:val="21"/>
                    </w:rPr>
                    <w:t>17.支持查看优秀学生详细信息，包含学生姓名、所属学校、学科得分及排名；</w:t>
                  </w:r>
                </w:p>
                <w:p>
                  <w:pPr>
                    <w:pStyle w:val="null3"/>
                    <w:jc w:val="both"/>
                  </w:pPr>
                  <w:r>
                    <w:rPr>
                      <w:rFonts w:ascii="仿宋_GB2312" w:hAnsi="仿宋_GB2312" w:cs="仿宋_GB2312" w:eastAsia="仿宋_GB2312"/>
                      <w:sz w:val="21"/>
                    </w:rPr>
                    <w:t>18.支持查看试卷整体质量分析，指标包括难度、难度比例、信度、区分度、题量；</w:t>
                  </w:r>
                </w:p>
                <w:p>
                  <w:pPr>
                    <w:pStyle w:val="null3"/>
                    <w:jc w:val="both"/>
                  </w:pPr>
                  <w:r>
                    <w:rPr>
                      <w:rFonts w:ascii="仿宋_GB2312" w:hAnsi="仿宋_GB2312" w:cs="仿宋_GB2312" w:eastAsia="仿宋_GB2312"/>
                      <w:sz w:val="21"/>
                    </w:rPr>
                    <w:t>19.支持查看试卷题型、题组、知识点及自定义试题标签的评价分析，分析指标包含标签名称、对应题号、对应分值及全市、区域、校、班级平均得分率及排名；</w:t>
                  </w:r>
                </w:p>
                <w:p>
                  <w:pPr>
                    <w:pStyle w:val="null3"/>
                    <w:jc w:val="both"/>
                  </w:pPr>
                  <w:r>
                    <w:rPr>
                      <w:rFonts w:ascii="仿宋_GB2312" w:hAnsi="仿宋_GB2312" w:cs="仿宋_GB2312" w:eastAsia="仿宋_GB2312"/>
                      <w:sz w:val="21"/>
                    </w:rPr>
                    <w:t>20.支持查看试卷小题分析，指标包括小题题型、分值、难度、区分度；</w:t>
                  </w:r>
                </w:p>
                <w:p>
                  <w:pPr>
                    <w:pStyle w:val="null3"/>
                    <w:jc w:val="both"/>
                  </w:pPr>
                  <w:r>
                    <w:rPr>
                      <w:rFonts w:ascii="仿宋_GB2312" w:hAnsi="仿宋_GB2312" w:cs="仿宋_GB2312" w:eastAsia="仿宋_GB2312"/>
                      <w:sz w:val="21"/>
                    </w:rPr>
                    <w:t>21.支持查看小题在全市、区域、学校、班级各层级的均分、得分率及排名；</w:t>
                  </w:r>
                </w:p>
                <w:p>
                  <w:pPr>
                    <w:pStyle w:val="null3"/>
                    <w:jc w:val="both"/>
                  </w:pPr>
                  <w:r>
                    <w:rPr>
                      <w:rFonts w:ascii="仿宋_GB2312" w:hAnsi="仿宋_GB2312" w:cs="仿宋_GB2312" w:eastAsia="仿宋_GB2312"/>
                      <w:sz w:val="21"/>
                    </w:rPr>
                    <w:t>22.支持按分数段下载作答原卷，支持整张及单题下载。</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联考历次对比分析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1.支持按学年、按级别范围筛选历次联考考试进行对比分析，支持最多添加10场联考对比；</w:t>
                  </w:r>
                </w:p>
                <w:p>
                  <w:pPr>
                    <w:pStyle w:val="null3"/>
                    <w:jc w:val="both"/>
                  </w:pPr>
                  <w:r>
                    <w:rPr>
                      <w:rFonts w:ascii="仿宋_GB2312" w:hAnsi="仿宋_GB2312" w:cs="仿宋_GB2312" w:eastAsia="仿宋_GB2312"/>
                      <w:sz w:val="21"/>
                    </w:rPr>
                    <w:t>2.支持查看历次联考基本信息，包括考试名称、考试时间、考试学生、考试科目、考试满分；</w:t>
                  </w:r>
                </w:p>
                <w:p>
                  <w:pPr>
                    <w:pStyle w:val="null3"/>
                    <w:jc w:val="both"/>
                  </w:pPr>
                  <w:r>
                    <w:rPr>
                      <w:rFonts w:ascii="仿宋_GB2312" w:hAnsi="仿宋_GB2312" w:cs="仿宋_GB2312" w:eastAsia="仿宋_GB2312"/>
                      <w:sz w:val="21"/>
                    </w:rPr>
                    <w:t>3.支持查看全市、区域、学校、班级各维度历次联考整体学情对比，指标包括平均分及排名、超均率、离均差、标准差、差异系数、优势系数；</w:t>
                  </w:r>
                </w:p>
                <w:p>
                  <w:pPr>
                    <w:pStyle w:val="null3"/>
                    <w:jc w:val="both"/>
                  </w:pPr>
                  <w:r>
                    <w:rPr>
                      <w:rFonts w:ascii="仿宋_GB2312" w:hAnsi="仿宋_GB2312" w:cs="仿宋_GB2312" w:eastAsia="仿宋_GB2312"/>
                      <w:sz w:val="21"/>
                    </w:rPr>
                    <w:t>4.支持查看全市、区域、学校、班级各维度历次联考达线情况对比，指标包括历次联考各档达线人数及达线率；支持查看达线学生详细信息；</w:t>
                  </w:r>
                </w:p>
                <w:p>
                  <w:pPr>
                    <w:pStyle w:val="null3"/>
                    <w:jc w:val="both"/>
                  </w:pPr>
                  <w:r>
                    <w:rPr>
                      <w:rFonts w:ascii="仿宋_GB2312" w:hAnsi="仿宋_GB2312" w:cs="仿宋_GB2312" w:eastAsia="仿宋_GB2312"/>
                      <w:sz w:val="21"/>
                    </w:rPr>
                    <w:t>5.支持查看全市、区域、学校、班级各维度历次联考总分和单学科学业等级分布对比，指标包括各等级人数及占比、各等级累计人数及占比；</w:t>
                  </w:r>
                </w:p>
                <w:p>
                  <w:pPr>
                    <w:pStyle w:val="null3"/>
                    <w:jc w:val="both"/>
                  </w:pPr>
                  <w:r>
                    <w:rPr>
                      <w:rFonts w:ascii="仿宋_GB2312" w:hAnsi="仿宋_GB2312" w:cs="仿宋_GB2312" w:eastAsia="仿宋_GB2312"/>
                      <w:sz w:val="21"/>
                    </w:rPr>
                    <w:t>6.支持查看全市、区域、学校、班级各维度历次联考优秀学生分布对比，包括优秀学生人数情况；支持查看优秀学生明细；</w:t>
                  </w:r>
                </w:p>
                <w:p>
                  <w:pPr>
                    <w:pStyle w:val="null3"/>
                    <w:jc w:val="both"/>
                  </w:pPr>
                  <w:r>
                    <w:rPr>
                      <w:rFonts w:ascii="仿宋_GB2312" w:hAnsi="仿宋_GB2312" w:cs="仿宋_GB2312" w:eastAsia="仿宋_GB2312"/>
                      <w:sz w:val="21"/>
                    </w:rPr>
                    <w:t>7.支持查看历次联考试卷整体分析对比，指标包括平均分、难度、信度、区分度；</w:t>
                  </w:r>
                </w:p>
                <w:p>
                  <w:pPr>
                    <w:pStyle w:val="null3"/>
                    <w:jc w:val="both"/>
                  </w:pPr>
                  <w:r>
                    <w:rPr>
                      <w:rFonts w:ascii="仿宋_GB2312" w:hAnsi="仿宋_GB2312" w:cs="仿宋_GB2312" w:eastAsia="仿宋_GB2312"/>
                      <w:sz w:val="21"/>
                    </w:rPr>
                    <w:t>8.支持查看历次联考试卷题型、题组两个维度对比分析，包括均分、得分率、排名、满分值指标。</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教学管理监测</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1.支持区域管理者查看区域教学基本信息，包括平台覆盖区县数、学校数、教师数、班级数、学生数、班生比，支持以Excel格式下载；</w:t>
                  </w:r>
                </w:p>
                <w:p>
                  <w:pPr>
                    <w:pStyle w:val="null3"/>
                    <w:jc w:val="both"/>
                  </w:pPr>
                  <w:r>
                    <w:rPr>
                      <w:rFonts w:ascii="仿宋_GB2312" w:hAnsi="仿宋_GB2312" w:cs="仿宋_GB2312" w:eastAsia="仿宋_GB2312"/>
                      <w:sz w:val="21"/>
                    </w:rPr>
                    <w:t>2.支持学科教研员按时间筛选查看区域内联考类型数、网阅考试数、手阅考试数；</w:t>
                  </w:r>
                </w:p>
                <w:p>
                  <w:pPr>
                    <w:pStyle w:val="null3"/>
                    <w:jc w:val="both"/>
                  </w:pPr>
                  <w:r>
                    <w:rPr>
                      <w:rFonts w:ascii="仿宋_GB2312" w:hAnsi="仿宋_GB2312" w:cs="仿宋_GB2312" w:eastAsia="仿宋_GB2312"/>
                      <w:sz w:val="21"/>
                    </w:rPr>
                    <w:t>3.支持区域管理者按年级、区县、学校筛选查看区域高中选科信息；</w:t>
                  </w:r>
                </w:p>
                <w:p>
                  <w:pPr>
                    <w:pStyle w:val="null3"/>
                    <w:jc w:val="both"/>
                  </w:pPr>
                  <w:r>
                    <w:rPr>
                      <w:rFonts w:ascii="仿宋_GB2312" w:hAnsi="仿宋_GB2312" w:cs="仿宋_GB2312" w:eastAsia="仿宋_GB2312"/>
                      <w:sz w:val="21"/>
                    </w:rPr>
                    <w:t>4.支持以Excel格式下载。</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教学活动监测</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1.支持学科教学活动监管用于了解区域内各单校日常教学行为情况，包含学校的网阅考试情况，手阅考试情况，线上练习情况包含完成率、提交率、批改率等指标，以及学校组卷数量。；</w:t>
                  </w:r>
                </w:p>
                <w:p>
                  <w:pPr>
                    <w:pStyle w:val="null3"/>
                    <w:jc w:val="both"/>
                  </w:pPr>
                  <w:r>
                    <w:rPr>
                      <w:rFonts w:ascii="仿宋_GB2312" w:hAnsi="仿宋_GB2312" w:cs="仿宋_GB2312" w:eastAsia="仿宋_GB2312"/>
                      <w:sz w:val="21"/>
                    </w:rPr>
                    <w:t>2.可查看单校的详细学业行为情况，包含各项明细，全面、细致了解学校的日常教学信息化行为及特点；</w:t>
                  </w:r>
                </w:p>
                <w:p>
                  <w:pPr>
                    <w:pStyle w:val="null3"/>
                    <w:jc w:val="both"/>
                  </w:pPr>
                  <w:r>
                    <w:rPr>
                      <w:rFonts w:ascii="仿宋_GB2312" w:hAnsi="仿宋_GB2312" w:cs="仿宋_GB2312" w:eastAsia="仿宋_GB2312"/>
                      <w:sz w:val="21"/>
                    </w:rPr>
                    <w:t>3.教研员查看区域内学校学业数据，包括学校名称、网阅考试数、手阅测验数、组卷次数，支持查看单校教学活动数据详情。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教学质量监测</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1.支持学科教研员查看区域内单校校本题库资源详情；支持查看单校校本题库知识点分布情况；</w:t>
                  </w:r>
                </w:p>
                <w:p>
                  <w:pPr>
                    <w:pStyle w:val="null3"/>
                    <w:jc w:val="both"/>
                  </w:pPr>
                  <w:r>
                    <w:rPr>
                      <w:rFonts w:ascii="仿宋_GB2312" w:hAnsi="仿宋_GB2312" w:cs="仿宋_GB2312" w:eastAsia="仿宋_GB2312"/>
                      <w:sz w:val="21"/>
                    </w:rPr>
                    <w:t>2.支持学科教研员按章节选择知识点，查看该章节知识点的各校得分率和考频情况；</w:t>
                  </w:r>
                </w:p>
                <w:p>
                  <w:pPr>
                    <w:pStyle w:val="null3"/>
                    <w:jc w:val="both"/>
                  </w:pPr>
                  <w:r>
                    <w:rPr>
                      <w:rFonts w:ascii="仿宋_GB2312" w:hAnsi="仿宋_GB2312" w:cs="仿宋_GB2312" w:eastAsia="仿宋_GB2312"/>
                      <w:sz w:val="21"/>
                    </w:rPr>
                    <w:t>3.支持学科教研员按时间段下钻查看区域内学校的知识点详情，指标包括近五年高考考频、年级得分率、年级考察题数；</w:t>
                  </w:r>
                </w:p>
                <w:p>
                  <w:pPr>
                    <w:pStyle w:val="null3"/>
                    <w:jc w:val="both"/>
                  </w:pPr>
                  <w:r>
                    <w:rPr>
                      <w:rFonts w:ascii="仿宋_GB2312" w:hAnsi="仿宋_GB2312" w:cs="仿宋_GB2312" w:eastAsia="仿宋_GB2312"/>
                      <w:sz w:val="21"/>
                    </w:rPr>
                    <w:t>4.支持查看该知识点历次年级得分率，知识点关联错题、高考真题；</w:t>
                  </w:r>
                </w:p>
                <w:p>
                  <w:pPr>
                    <w:pStyle w:val="null3"/>
                    <w:jc w:val="both"/>
                  </w:pPr>
                  <w:r>
                    <w:rPr>
                      <w:rFonts w:ascii="仿宋_GB2312" w:hAnsi="仿宋_GB2312" w:cs="仿宋_GB2312" w:eastAsia="仿宋_GB2312"/>
                      <w:sz w:val="21"/>
                    </w:rPr>
                    <w:t>5.支持学科教研员按时间筛选查看区域内学校学情概览，指标包括学校名称、考查知识点个数、薄弱知识点个数、共性错题数；</w:t>
                  </w:r>
                </w:p>
                <w:p>
                  <w:pPr>
                    <w:pStyle w:val="null3"/>
                    <w:jc w:val="both"/>
                  </w:pPr>
                  <w:r>
                    <w:rPr>
                      <w:rFonts w:ascii="仿宋_GB2312" w:hAnsi="仿宋_GB2312" w:cs="仿宋_GB2312" w:eastAsia="仿宋_GB2312"/>
                      <w:sz w:val="21"/>
                    </w:rPr>
                    <w:t>6.支持学科教研员查看区域内学校高频错题汇总情况，指标包括共性错题数、平均得分率；支持按时间段、考试名称、得分率、题型维度筛选查看学校共性错题。</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学校学情分析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1.支持校级学情对比；</w:t>
                  </w:r>
                </w:p>
                <w:p>
                  <w:pPr>
                    <w:pStyle w:val="null3"/>
                    <w:jc w:val="both"/>
                  </w:pPr>
                  <w:r>
                    <w:rPr>
                      <w:rFonts w:ascii="仿宋_GB2312" w:hAnsi="仿宋_GB2312" w:cs="仿宋_GB2312" w:eastAsia="仿宋_GB2312"/>
                      <w:sz w:val="21"/>
                    </w:rPr>
                    <w:t>2.支持学科教研员按时间筛选查看区域内学校学情概览；</w:t>
                  </w:r>
                </w:p>
                <w:p>
                  <w:pPr>
                    <w:pStyle w:val="null3"/>
                    <w:jc w:val="both"/>
                  </w:pPr>
                  <w:r>
                    <w:rPr>
                      <w:rFonts w:ascii="仿宋_GB2312" w:hAnsi="仿宋_GB2312" w:cs="仿宋_GB2312" w:eastAsia="仿宋_GB2312"/>
                      <w:sz w:val="21"/>
                    </w:rPr>
                    <w:t>3.支持学科教研员查看区域内学校高频错题汇总情况；</w:t>
                  </w:r>
                </w:p>
                <w:p>
                  <w:pPr>
                    <w:pStyle w:val="null3"/>
                    <w:jc w:val="both"/>
                  </w:pPr>
                  <w:r>
                    <w:rPr>
                      <w:rFonts w:ascii="仿宋_GB2312" w:hAnsi="仿宋_GB2312" w:cs="仿宋_GB2312" w:eastAsia="仿宋_GB2312"/>
                      <w:sz w:val="21"/>
                    </w:rPr>
                    <w:t>4.支持按时间段、考试名称、得分率、题型维度筛选查看学校共性错题；</w:t>
                  </w:r>
                </w:p>
                <w:p>
                  <w:pPr>
                    <w:pStyle w:val="null3"/>
                    <w:jc w:val="both"/>
                  </w:pPr>
                  <w:r>
                    <w:rPr>
                      <w:rFonts w:ascii="仿宋_GB2312" w:hAnsi="仿宋_GB2312" w:cs="仿宋_GB2312" w:eastAsia="仿宋_GB2312"/>
                      <w:sz w:val="21"/>
                    </w:rPr>
                    <w:t>5.支持学校学情分析；</w:t>
                  </w:r>
                </w:p>
                <w:p>
                  <w:pPr>
                    <w:pStyle w:val="null3"/>
                    <w:jc w:val="both"/>
                  </w:pPr>
                  <w:r>
                    <w:rPr>
                      <w:rFonts w:ascii="仿宋_GB2312" w:hAnsi="仿宋_GB2312" w:cs="仿宋_GB2312" w:eastAsia="仿宋_GB2312"/>
                      <w:sz w:val="21"/>
                    </w:rPr>
                    <w:t>6.支持学科教研员查看区域内单校校本题库资源详情；</w:t>
                  </w:r>
                </w:p>
                <w:p>
                  <w:pPr>
                    <w:pStyle w:val="null3"/>
                    <w:jc w:val="both"/>
                  </w:pPr>
                  <w:r>
                    <w:rPr>
                      <w:rFonts w:ascii="仿宋_GB2312" w:hAnsi="仿宋_GB2312" w:cs="仿宋_GB2312" w:eastAsia="仿宋_GB2312"/>
                      <w:sz w:val="21"/>
                    </w:rPr>
                    <w:t>7.支持查看单校校本题库知识点分布情况；</w:t>
                  </w:r>
                </w:p>
                <w:p>
                  <w:pPr>
                    <w:pStyle w:val="null3"/>
                    <w:jc w:val="both"/>
                  </w:pPr>
                  <w:r>
                    <w:rPr>
                      <w:rFonts w:ascii="仿宋_GB2312" w:hAnsi="仿宋_GB2312" w:cs="仿宋_GB2312" w:eastAsia="仿宋_GB2312"/>
                      <w:sz w:val="21"/>
                    </w:rPr>
                    <w:t>8.支持学科教研员按章节选择知识点，查看该章节知识点的各校得分率和考频情况；</w:t>
                  </w:r>
                </w:p>
                <w:p>
                  <w:pPr>
                    <w:pStyle w:val="null3"/>
                    <w:jc w:val="both"/>
                  </w:pPr>
                  <w:r>
                    <w:rPr>
                      <w:rFonts w:ascii="仿宋_GB2312" w:hAnsi="仿宋_GB2312" w:cs="仿宋_GB2312" w:eastAsia="仿宋_GB2312"/>
                      <w:sz w:val="21"/>
                    </w:rPr>
                    <w:t>9.支持学科教研员按时间段下钻查看区域内学校的知识点详情。</w:t>
                  </w:r>
                </w:p>
                <w:p>
                  <w:pPr>
                    <w:pStyle w:val="null3"/>
                    <w:jc w:val="both"/>
                  </w:pPr>
                  <w:r>
                    <w:rPr>
                      <w:rFonts w:ascii="仿宋_GB2312" w:hAnsi="仿宋_GB2312" w:cs="仿宋_GB2312" w:eastAsia="仿宋_GB2312"/>
                      <w:sz w:val="21"/>
                    </w:rPr>
                    <w:t>10.支持查看该知识点历次年级得分率，知识点关联错题、以及高考真题；</w:t>
                  </w:r>
                </w:p>
                <w:p>
                  <w:pPr>
                    <w:pStyle w:val="null3"/>
                    <w:jc w:val="both"/>
                  </w:pPr>
                  <w:r>
                    <w:rPr>
                      <w:rFonts w:ascii="仿宋_GB2312" w:hAnsi="仿宋_GB2312" w:cs="仿宋_GB2312" w:eastAsia="仿宋_GB2312"/>
                      <w:sz w:val="21"/>
                    </w:rPr>
                    <w:t>11.支持校本题库监管；</w:t>
                  </w:r>
                </w:p>
                <w:p>
                  <w:pPr>
                    <w:pStyle w:val="null3"/>
                    <w:jc w:val="both"/>
                  </w:pPr>
                  <w:r>
                    <w:rPr>
                      <w:rFonts w:ascii="仿宋_GB2312" w:hAnsi="仿宋_GB2312" w:cs="仿宋_GB2312" w:eastAsia="仿宋_GB2312"/>
                      <w:sz w:val="21"/>
                    </w:rPr>
                    <w:t>12.提供区域学校校本数量；</w:t>
                  </w:r>
                </w:p>
                <w:p>
                  <w:pPr>
                    <w:pStyle w:val="null3"/>
                    <w:jc w:val="both"/>
                  </w:pPr>
                  <w:r>
                    <w:rPr>
                      <w:rFonts w:ascii="仿宋_GB2312" w:hAnsi="仿宋_GB2312" w:cs="仿宋_GB2312" w:eastAsia="仿宋_GB2312"/>
                      <w:sz w:val="21"/>
                    </w:rPr>
                    <w:t>13.支持下钻单校查看详情；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19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教师全息画像系统</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全息搜</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1.需支持市级、区级、学校管理员通过多种检索方式查询教师信息和教师档案数据，搜索方式需包括：关键字检索、组合搜索等；</w:t>
                  </w:r>
                </w:p>
                <w:p>
                  <w:pPr>
                    <w:pStyle w:val="null3"/>
                    <w:jc w:val="both"/>
                  </w:pPr>
                  <w:r>
                    <w:rPr>
                      <w:rFonts w:ascii="仿宋_GB2312" w:hAnsi="仿宋_GB2312" w:cs="仿宋_GB2312" w:eastAsia="仿宋_GB2312"/>
                      <w:sz w:val="21"/>
                    </w:rPr>
                    <w:t>2.需支持将多次搜索结果添加到用户池中；</w:t>
                  </w:r>
                </w:p>
                <w:p>
                  <w:pPr>
                    <w:pStyle w:val="null3"/>
                    <w:jc w:val="both"/>
                  </w:pPr>
                  <w:r>
                    <w:rPr>
                      <w:rFonts w:ascii="仿宋_GB2312" w:hAnsi="仿宋_GB2312" w:cs="仿宋_GB2312" w:eastAsia="仿宋_GB2312"/>
                      <w:sz w:val="21"/>
                    </w:rPr>
                    <w:t>3.需支持对教师档案数据提供按维度下载、按个人下载两种方式导出。</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个体档案</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伴随式记录每位教师在教育教学生涯中的过程性和经历性数据，形成教师个体数字档案，呈现：教师基本信息、教育经历、工作经历、荣誉奖项、科研成果、教学活动、教研活动、培训学习维度、三级三类骨干教师等信息。</w:t>
                  </w:r>
                </w:p>
                <w:p>
                  <w:pPr>
                    <w:pStyle w:val="null3"/>
                    <w:jc w:val="both"/>
                  </w:pPr>
                  <w:r>
                    <w:rPr>
                      <w:rFonts w:ascii="仿宋_GB2312" w:hAnsi="仿宋_GB2312" w:cs="仿宋_GB2312" w:eastAsia="仿宋_GB2312"/>
                      <w:sz w:val="21"/>
                    </w:rPr>
                    <w:t>2.需支持按基本信息、经历资历、荣誉奖项、教科研成果、教学活动、教研活动不同档案维度分类，向管理者或教师展示教师个人档案数据；</w:t>
                  </w:r>
                </w:p>
                <w:p>
                  <w:pPr>
                    <w:pStyle w:val="null3"/>
                    <w:jc w:val="both"/>
                  </w:pPr>
                  <w:r>
                    <w:rPr>
                      <w:rFonts w:ascii="仿宋_GB2312" w:hAnsi="仿宋_GB2312" w:cs="仿宋_GB2312" w:eastAsia="仿宋_GB2312"/>
                      <w:sz w:val="21"/>
                    </w:rPr>
                    <w:t>3.需支持管理员或教师对个人档案数据进行编辑、预览、导出；</w:t>
                  </w:r>
                </w:p>
                <w:p>
                  <w:pPr>
                    <w:pStyle w:val="null3"/>
                    <w:jc w:val="both"/>
                  </w:pPr>
                  <w:r>
                    <w:rPr>
                      <w:rFonts w:ascii="仿宋_GB2312" w:hAnsi="仿宋_GB2312" w:cs="仿宋_GB2312" w:eastAsia="仿宋_GB2312"/>
                      <w:sz w:val="21"/>
                    </w:rPr>
                    <w:t>4.需支持管理员或教师查阅“待审核”的档案数，对待审核数据进行查看、删除；查阅“已驳回”的档案数，对已驳回数据进行查看、修改、删除；查阅“已反馈”的档案数，对已反馈数据进行查看。</w:t>
                  </w:r>
                </w:p>
                <w:p>
                  <w:pPr>
                    <w:pStyle w:val="null3"/>
                    <w:jc w:val="both"/>
                  </w:pPr>
                  <w:r>
                    <w:rPr>
                      <w:rFonts w:ascii="仿宋_GB2312" w:hAnsi="仿宋_GB2312" w:cs="仿宋_GB2312" w:eastAsia="仿宋_GB2312"/>
                      <w:sz w:val="21"/>
                    </w:rPr>
                    <w:t>5.需支持管理者或教师本人查看个人报告，包括：总体表现、分维度表现、行为要点表现（含满分项、可提升项、需关注项），需提供提升方向和建议；</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个人画像</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1.需支持基于教师档案数据，通过提炼教师身份特征，自动生成教师个体化的标签画像，如专任教师、班主任；支持统计教师在教学、科研等活动方面的活跃情况；</w:t>
                  </w:r>
                </w:p>
                <w:p>
                  <w:pPr>
                    <w:pStyle w:val="null3"/>
                    <w:jc w:val="both"/>
                  </w:pPr>
                  <w:r>
                    <w:rPr>
                      <w:rFonts w:ascii="仿宋_GB2312" w:hAnsi="仿宋_GB2312" w:cs="仿宋_GB2312" w:eastAsia="仿宋_GB2312"/>
                      <w:sz w:val="21"/>
                    </w:rPr>
                    <w:t>2.需支持以时间轴方式展现教师在科研、教研、荣誉、培训维度的成果、经历信息，体现个体纵向发展变化趋势；</w:t>
                  </w:r>
                </w:p>
                <w:p>
                  <w:pPr>
                    <w:pStyle w:val="null3"/>
                    <w:jc w:val="both"/>
                  </w:pPr>
                  <w:r>
                    <w:rPr>
                      <w:rFonts w:ascii="仿宋_GB2312" w:hAnsi="仿宋_GB2312" w:cs="仿宋_GB2312" w:eastAsia="仿宋_GB2312"/>
                      <w:sz w:val="21"/>
                    </w:rPr>
                    <w:t>3.需支持标记个人教育教学生涯中的重大事件，包括参加省级以上比赛、获得省级以上表彰；或者首次参加某一类活动，反映个体发展的增值变化情况。</w:t>
                  </w:r>
                </w:p>
                <w:p>
                  <w:pPr>
                    <w:pStyle w:val="null3"/>
                    <w:jc w:val="both"/>
                  </w:pPr>
                  <w:r>
                    <w:rPr>
                      <w:rFonts w:ascii="仿宋_GB2312" w:hAnsi="仿宋_GB2312" w:cs="仿宋_GB2312" w:eastAsia="仿宋_GB2312"/>
                      <w:sz w:val="21"/>
                    </w:rPr>
                    <w:t>4.需支持以标签形式展示教师个人基本画像；</w:t>
                  </w:r>
                </w:p>
                <w:p>
                  <w:pPr>
                    <w:pStyle w:val="null3"/>
                    <w:jc w:val="both"/>
                  </w:pPr>
                  <w:r>
                    <w:rPr>
                      <w:rFonts w:ascii="仿宋_GB2312" w:hAnsi="仿宋_GB2312" w:cs="仿宋_GB2312" w:eastAsia="仿宋_GB2312"/>
                      <w:sz w:val="21"/>
                    </w:rPr>
                    <w:t>5.需支持统计教师的学术成果、教研活动、培训学习、本人获奖、课题研究、指导学生获奖的活跃学年数；</w:t>
                  </w:r>
                </w:p>
                <w:p>
                  <w:pPr>
                    <w:pStyle w:val="null3"/>
                    <w:jc w:val="both"/>
                  </w:pPr>
                  <w:r>
                    <w:rPr>
                      <w:rFonts w:ascii="仿宋_GB2312" w:hAnsi="仿宋_GB2312" w:cs="仿宋_GB2312" w:eastAsia="仿宋_GB2312"/>
                      <w:sz w:val="21"/>
                    </w:rPr>
                    <w:t>6.需支持以时间轴方式展现教师在学术成果、课题研究、教研活动、本人获奖、培训学习、指导学生获奖数量。</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教师队伍分析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需支持市级管理员查看本组织的专任教师队伍分析数据，包括师生数分析；</w:t>
                  </w:r>
                </w:p>
                <w:p>
                  <w:pPr>
                    <w:pStyle w:val="null3"/>
                    <w:numPr>
                      <w:ilvl w:val="0"/>
                      <w:numId w:val="1"/>
                    </w:numPr>
                    <w:jc w:val="both"/>
                  </w:pPr>
                  <w:r>
                    <w:rPr>
                      <w:rFonts w:ascii="仿宋_GB2312" w:hAnsi="仿宋_GB2312" w:cs="仿宋_GB2312" w:eastAsia="仿宋_GB2312"/>
                      <w:sz w:val="21"/>
                    </w:rPr>
                    <w:t>需支持教师性别分析、教师年龄分析、教师编制分析、学科分析、教师工龄分析等。</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荣誉奖项分析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1.需支持市级管理员按学年查看教师荣誉奖项分析数据，包括不同奖项级别数量、荣誉奖项排行信息。</w:t>
                  </w:r>
                </w:p>
                <w:p>
                  <w:pPr>
                    <w:pStyle w:val="null3"/>
                    <w:jc w:val="both"/>
                  </w:pPr>
                  <w:r>
                    <w:rPr>
                      <w:rFonts w:ascii="仿宋_GB2312" w:hAnsi="仿宋_GB2312" w:cs="仿宋_GB2312" w:eastAsia="仿宋_GB2312"/>
                      <w:sz w:val="21"/>
                    </w:rPr>
                    <w:t>2.需支持教师荣誉奖项分析板块统计和展示教师在教学业务比赛、教育系统荣誉表彰方面所获得的荣誉奖项，以及对这些成果进行排名，提供视图看板。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科研成果分析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1.需支持市级管理员按学年查看教师科研成果分析数据，包括不同课题级别数量、教师科研活跃榜单。</w:t>
                  </w:r>
                </w:p>
                <w:p>
                  <w:pPr>
                    <w:pStyle w:val="null3"/>
                    <w:jc w:val="both"/>
                  </w:pPr>
                  <w:r>
                    <w:rPr>
                      <w:rFonts w:ascii="仿宋_GB2312" w:hAnsi="仿宋_GB2312" w:cs="仿宋_GB2312" w:eastAsia="仿宋_GB2312"/>
                      <w:sz w:val="21"/>
                    </w:rPr>
                    <w:t>2.需支持教师科研成果板块统计和展示教师在科研课题、学术论文方面所获得的教科研成果数据。</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教学活动分析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1.需支持校级管理员按学年查看教师教学活动分析数据，包括备课、授课、互动、作业、分享人次，支持查看教师教学活跃榜单。</w:t>
                  </w:r>
                </w:p>
                <w:p>
                  <w:pPr>
                    <w:pStyle w:val="null3"/>
                    <w:jc w:val="both"/>
                  </w:pPr>
                  <w:r>
                    <w:rPr>
                      <w:rFonts w:ascii="仿宋_GB2312" w:hAnsi="仿宋_GB2312" w:cs="仿宋_GB2312" w:eastAsia="仿宋_GB2312"/>
                      <w:sz w:val="21"/>
                    </w:rPr>
                    <w:t>2.需支持教师教学活动分析板块提供评估和提升教师在信息化教学中的应用能力分析看板。</w:t>
                  </w:r>
                </w:p>
                <w:p>
                  <w:pPr>
                    <w:pStyle w:val="null3"/>
                    <w:jc w:val="both"/>
                  </w:pPr>
                  <w:r>
                    <w:rPr>
                      <w:rFonts w:ascii="仿宋_GB2312" w:hAnsi="仿宋_GB2312" w:cs="仿宋_GB2312" w:eastAsia="仿宋_GB2312"/>
                      <w:sz w:val="21"/>
                    </w:rPr>
                    <w:t>3.需支持用户可以了解到每位教师利用现代教育技术进行教学活动的频率和月份使用趋势，还能够看到在使用这些平台方面表现最为积极的教师排名。</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教研活动分析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1.需支持校级管理员按学年查看教师教研活动分析数据，包括集体备课、听评课、公开课、专题研讨数量，教师教研活跃榜单。</w:t>
                  </w:r>
                </w:p>
                <w:p>
                  <w:pPr>
                    <w:pStyle w:val="null3"/>
                    <w:jc w:val="both"/>
                  </w:pPr>
                  <w:r>
                    <w:rPr>
                      <w:rFonts w:ascii="仿宋_GB2312" w:hAnsi="仿宋_GB2312" w:cs="仿宋_GB2312" w:eastAsia="仿宋_GB2312"/>
                      <w:sz w:val="21"/>
                    </w:rPr>
                    <w:t>2.需支持查看教师教研活动分析板块中学校教师的各类教研活动参与度的统计分析看板。</w:t>
                  </w:r>
                </w:p>
                <w:p>
                  <w:pPr>
                    <w:pStyle w:val="null3"/>
                    <w:jc w:val="both"/>
                  </w:pPr>
                  <w:r>
                    <w:rPr>
                      <w:rFonts w:ascii="仿宋_GB2312" w:hAnsi="仿宋_GB2312" w:cs="仿宋_GB2312" w:eastAsia="仿宋_GB2312"/>
                      <w:sz w:val="21"/>
                    </w:rPr>
                    <w:t>3.需支持查看教研活动中最积极的教师排名。</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培训学习分析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1.需支持校级管理员按学年查看教师培训学习分析数据，包括不同级别数量，教师培训活跃榜单。</w:t>
                  </w:r>
                </w:p>
                <w:p>
                  <w:pPr>
                    <w:pStyle w:val="null3"/>
                    <w:jc w:val="both"/>
                  </w:pPr>
                  <w:r>
                    <w:rPr>
                      <w:rFonts w:ascii="仿宋_GB2312" w:hAnsi="仿宋_GB2312" w:cs="仿宋_GB2312" w:eastAsia="仿宋_GB2312"/>
                      <w:sz w:val="21"/>
                    </w:rPr>
                    <w:t>2.需支持提供教师专业发展和培训参与度的统计分析看板</w:t>
                  </w:r>
                </w:p>
                <w:p>
                  <w:pPr>
                    <w:pStyle w:val="null3"/>
                    <w:jc w:val="both"/>
                  </w:pPr>
                  <w:r>
                    <w:rPr>
                      <w:rFonts w:ascii="仿宋_GB2312" w:hAnsi="仿宋_GB2312" w:cs="仿宋_GB2312" w:eastAsia="仿宋_GB2312"/>
                      <w:sz w:val="21"/>
                    </w:rPr>
                    <w:t>3.需支持分析和展示教师在省级、国家级培训（省国培）以及区域校本培训中的参与情况</w:t>
                  </w:r>
                </w:p>
                <w:p>
                  <w:pPr>
                    <w:pStyle w:val="null3"/>
                    <w:jc w:val="both"/>
                  </w:pPr>
                  <w:r>
                    <w:rPr>
                      <w:rFonts w:ascii="仿宋_GB2312" w:hAnsi="仿宋_GB2312" w:cs="仿宋_GB2312" w:eastAsia="仿宋_GB2312"/>
                      <w:sz w:val="21"/>
                    </w:rPr>
                    <w:t>4.需支持提供参与教师培训最积极的教师排名。</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档案个人管理</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1.需支持按本人奖项、培训学习、指导学生获奖、公开课教学维度分类统计本人档案数量；</w:t>
                  </w:r>
                </w:p>
                <w:p>
                  <w:pPr>
                    <w:pStyle w:val="null3"/>
                    <w:jc w:val="both"/>
                  </w:pPr>
                  <w:r>
                    <w:rPr>
                      <w:rFonts w:ascii="仿宋_GB2312" w:hAnsi="仿宋_GB2312" w:cs="仿宋_GB2312" w:eastAsia="仿宋_GB2312"/>
                      <w:sz w:val="21"/>
                    </w:rPr>
                    <w:t>2.需支持查看本人档案明细数据；按多种方式进行筛选，多种顺序进行排序；</w:t>
                  </w:r>
                </w:p>
                <w:p>
                  <w:pPr>
                    <w:pStyle w:val="null3"/>
                    <w:jc w:val="both"/>
                  </w:pPr>
                  <w:r>
                    <w:rPr>
                      <w:rFonts w:ascii="仿宋_GB2312" w:hAnsi="仿宋_GB2312" w:cs="仿宋_GB2312" w:eastAsia="仿宋_GB2312"/>
                      <w:sz w:val="21"/>
                    </w:rPr>
                    <w:t>3.需支持按档案关键字、指定维度搜索本人档案数据；需支持查看最近搜索历史、搜索结果的分类展示。</w:t>
                  </w:r>
                </w:p>
                <w:p>
                  <w:pPr>
                    <w:pStyle w:val="null3"/>
                    <w:jc w:val="both"/>
                  </w:pPr>
                  <w:r>
                    <w:rPr>
                      <w:rFonts w:ascii="仿宋_GB2312" w:hAnsi="仿宋_GB2312" w:cs="仿宋_GB2312" w:eastAsia="仿宋_GB2312"/>
                      <w:sz w:val="21"/>
                    </w:rPr>
                    <w:t>4.需支持在用户授权的前提下，通过拍照方式将个人纸质档案附件上传到档案中；需支持对图片进行裁剪、转向、打码；需支持OCR识别；</w:t>
                  </w:r>
                </w:p>
                <w:p>
                  <w:pPr>
                    <w:pStyle w:val="null3"/>
                    <w:jc w:val="both"/>
                  </w:pPr>
                  <w:r>
                    <w:rPr>
                      <w:rFonts w:ascii="仿宋_GB2312" w:hAnsi="仿宋_GB2312" w:cs="仿宋_GB2312" w:eastAsia="仿宋_GB2312"/>
                      <w:sz w:val="21"/>
                    </w:rPr>
                    <w:t>5.需支持在用户授权的前提下，将手机相册、手机本地文件中的个人档案证书证明材料上传到档案中；需支持OCR识别；</w:t>
                  </w:r>
                </w:p>
                <w:p>
                  <w:pPr>
                    <w:pStyle w:val="null3"/>
                    <w:jc w:val="both"/>
                  </w:pPr>
                  <w:r>
                    <w:rPr>
                      <w:rFonts w:ascii="仿宋_GB2312" w:hAnsi="仿宋_GB2312" w:cs="仿宋_GB2312" w:eastAsia="仿宋_GB2312"/>
                      <w:sz w:val="21"/>
                    </w:rPr>
                    <w:t>6.需支持对纯文本类个人档案进行手动填报录入；</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审核</w:t>
                  </w:r>
                </w:p>
                <w:p>
                  <w:pPr>
                    <w:pStyle w:val="null3"/>
                    <w:jc w:val="center"/>
                  </w:pPr>
                  <w:r>
                    <w:rPr>
                      <w:rFonts w:ascii="仿宋_GB2312" w:hAnsi="仿宋_GB2312" w:cs="仿宋_GB2312" w:eastAsia="仿宋_GB2312"/>
                      <w:sz w:val="21"/>
                    </w:rPr>
                    <w:t>管理</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1.需支持用户编辑个人信息，包括：头像、个人信息、学习信息、工作信息；</w:t>
                  </w:r>
                </w:p>
                <w:p>
                  <w:pPr>
                    <w:pStyle w:val="null3"/>
                    <w:jc w:val="both"/>
                  </w:pPr>
                  <w:r>
                    <w:rPr>
                      <w:rFonts w:ascii="仿宋_GB2312" w:hAnsi="仿宋_GB2312" w:cs="仿宋_GB2312" w:eastAsia="仿宋_GB2312"/>
                      <w:sz w:val="21"/>
                    </w:rPr>
                    <w:t>2.需支持用户反馈产品问题或使用意见；</w:t>
                  </w:r>
                </w:p>
                <w:p>
                  <w:pPr>
                    <w:pStyle w:val="null3"/>
                    <w:jc w:val="both"/>
                  </w:pPr>
                  <w:r>
                    <w:rPr>
                      <w:rFonts w:ascii="仿宋_GB2312" w:hAnsi="仿宋_GB2312" w:cs="仿宋_GB2312" w:eastAsia="仿宋_GB2312"/>
                      <w:sz w:val="21"/>
                    </w:rPr>
                    <w:t>3.需支持查看相关用户协议、隐私政策；</w:t>
                  </w:r>
                </w:p>
                <w:p>
                  <w:pPr>
                    <w:pStyle w:val="null3"/>
                    <w:jc w:val="both"/>
                  </w:pPr>
                  <w:r>
                    <w:rPr>
                      <w:rFonts w:ascii="仿宋_GB2312" w:hAnsi="仿宋_GB2312" w:cs="仿宋_GB2312" w:eastAsia="仿宋_GB2312"/>
                      <w:sz w:val="21"/>
                    </w:rPr>
                    <w:t>4.需支持角色切换、退出登录操作。</w:t>
                  </w:r>
                </w:p>
                <w:p>
                  <w:pPr>
                    <w:pStyle w:val="null3"/>
                    <w:jc w:val="both"/>
                  </w:pPr>
                  <w:r>
                    <w:rPr>
                      <w:rFonts w:ascii="仿宋_GB2312" w:hAnsi="仿宋_GB2312" w:cs="仿宋_GB2312" w:eastAsia="仿宋_GB2312"/>
                      <w:sz w:val="21"/>
                    </w:rPr>
                    <w:t>5.需支持对教师填报的信息进行审核，支持单条信息审核与批量审核，支持查看已通过与未通过信息列表；</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w:t>
                  </w:r>
                </w:p>
                <w:p>
                  <w:pPr>
                    <w:pStyle w:val="null3"/>
                    <w:jc w:val="center"/>
                  </w:pPr>
                  <w:r>
                    <w:rPr>
                      <w:rFonts w:ascii="仿宋_GB2312" w:hAnsi="仿宋_GB2312" w:cs="仿宋_GB2312" w:eastAsia="仿宋_GB2312"/>
                      <w:sz w:val="21"/>
                    </w:rPr>
                    <w:t>管理</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1.支持学校管理员批量导入本人负责的档案数据，系统提供导入模版和数据在线校验功能；</w:t>
                  </w:r>
                </w:p>
                <w:p>
                  <w:pPr>
                    <w:pStyle w:val="null3"/>
                    <w:jc w:val="both"/>
                  </w:pPr>
                  <w:r>
                    <w:rPr>
                      <w:rFonts w:ascii="仿宋_GB2312" w:hAnsi="仿宋_GB2312" w:cs="仿宋_GB2312" w:eastAsia="仿宋_GB2312"/>
                      <w:sz w:val="21"/>
                    </w:rPr>
                    <w:t>2.管理员对档案范围的教师的基本信息进行批量维护，支持对性别、民族、籍贯、政治面貌、职称、入校时间字段选项和格式进行校验约束。</w:t>
                  </w:r>
                </w:p>
                <w:p>
                  <w:pPr>
                    <w:pStyle w:val="null3"/>
                    <w:jc w:val="both"/>
                  </w:pPr>
                  <w:r>
                    <w:rPr>
                      <w:rFonts w:ascii="仿宋_GB2312" w:hAnsi="仿宋_GB2312" w:cs="仿宋_GB2312" w:eastAsia="仿宋_GB2312"/>
                      <w:sz w:val="21"/>
                    </w:rPr>
                    <w:t>3.管理员将教师业务档案数据以离线表格形式批量导入系统。系统提供导入模板，并支持可视化的在线格式校验和数据查重功能，校验通过即可成功导入。</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教师个人简历导出</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1.需支持教师个人档案预览并按需导出。</w:t>
                  </w:r>
                </w:p>
                <w:p>
                  <w:pPr>
                    <w:pStyle w:val="null3"/>
                    <w:jc w:val="both"/>
                  </w:pPr>
                  <w:r>
                    <w:rPr>
                      <w:rFonts w:ascii="仿宋_GB2312" w:hAnsi="仿宋_GB2312" w:cs="仿宋_GB2312" w:eastAsia="仿宋_GB2312"/>
                      <w:sz w:val="21"/>
                    </w:rPr>
                    <w:t>2.需支持根据档案维度进行档案内容筛选。</w:t>
                  </w:r>
                </w:p>
                <w:p>
                  <w:pPr>
                    <w:pStyle w:val="null3"/>
                    <w:jc w:val="both"/>
                  </w:pPr>
                  <w:r>
                    <w:rPr>
                      <w:rFonts w:ascii="仿宋_GB2312" w:hAnsi="仿宋_GB2312" w:cs="仿宋_GB2312" w:eastAsia="仿宋_GB2312"/>
                      <w:sz w:val="21"/>
                    </w:rPr>
                    <w:t>3.需支持根据时间周期进行档案内容筛选。</w:t>
                  </w:r>
                </w:p>
                <w:p>
                  <w:pPr>
                    <w:pStyle w:val="null3"/>
                    <w:jc w:val="both"/>
                  </w:pPr>
                  <w:r>
                    <w:rPr>
                      <w:rFonts w:ascii="仿宋_GB2312" w:hAnsi="仿宋_GB2312" w:cs="仿宋_GB2312" w:eastAsia="仿宋_GB2312"/>
                      <w:sz w:val="21"/>
                    </w:rPr>
                    <w:t>4.需支持个人档案附件一键导出。</w:t>
                  </w:r>
                </w:p>
                <w:p>
                  <w:pPr>
                    <w:pStyle w:val="null3"/>
                    <w:jc w:val="both"/>
                  </w:pPr>
                  <w:r>
                    <w:rPr>
                      <w:rFonts w:ascii="仿宋_GB2312" w:hAnsi="仿宋_GB2312" w:cs="仿宋_GB2312" w:eastAsia="仿宋_GB2312"/>
                      <w:sz w:val="21"/>
                    </w:rPr>
                    <w:t>5.需支持个人档案word文件一键导出。</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教师发展驾驶舱</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师资力量配置</w:t>
                  </w:r>
                </w:p>
                <w:p>
                  <w:pPr>
                    <w:pStyle w:val="null3"/>
                    <w:jc w:val="both"/>
                  </w:pPr>
                  <w:r>
                    <w:rPr>
                      <w:rFonts w:ascii="仿宋_GB2312" w:hAnsi="仿宋_GB2312" w:cs="仿宋_GB2312" w:eastAsia="仿宋_GB2312"/>
                      <w:sz w:val="21"/>
                    </w:rPr>
                    <w:t>1.需支持市级管理员查看专任教师数据，包含不同群体分析对象标签的教师人数和占比；查看师资结构数据，包括：性别、年龄、学历等；</w:t>
                  </w:r>
                </w:p>
                <w:p>
                  <w:pPr>
                    <w:pStyle w:val="null3"/>
                    <w:jc w:val="both"/>
                  </w:pPr>
                  <w:r>
                    <w:rPr>
                      <w:rFonts w:ascii="仿宋_GB2312" w:hAnsi="仿宋_GB2312" w:cs="仿宋_GB2312" w:eastAsia="仿宋_GB2312"/>
                      <w:sz w:val="21"/>
                    </w:rPr>
                    <w:t>2.需支持市级管理员查看新招聘教师人数、净流入教师人数、拟退休教师人数、教师交流轮岗率数据相关师资调配数据。</w:t>
                  </w:r>
                </w:p>
                <w:p>
                  <w:pPr>
                    <w:pStyle w:val="null3"/>
                    <w:jc w:val="both"/>
                  </w:pPr>
                  <w:r>
                    <w:rPr>
                      <w:rFonts w:ascii="仿宋_GB2312" w:hAnsi="仿宋_GB2312" w:cs="仿宋_GB2312" w:eastAsia="仿宋_GB2312"/>
                      <w:sz w:val="21"/>
                    </w:rPr>
                    <w:t>教师发展成效</w:t>
                  </w:r>
                </w:p>
                <w:p>
                  <w:pPr>
                    <w:pStyle w:val="null3"/>
                    <w:jc w:val="both"/>
                  </w:pPr>
                  <w:r>
                    <w:rPr>
                      <w:rFonts w:ascii="仿宋_GB2312" w:hAnsi="仿宋_GB2312" w:cs="仿宋_GB2312" w:eastAsia="仿宋_GB2312"/>
                      <w:sz w:val="21"/>
                    </w:rPr>
                    <w:t>3.需支持市级管理员查看本市教师队伍在德育、教学、教研、教科研四大维度的成果输出情况，每个维度不少于2个统计子维度；</w:t>
                  </w:r>
                </w:p>
                <w:p>
                  <w:pPr>
                    <w:pStyle w:val="null3"/>
                    <w:jc w:val="both"/>
                  </w:pPr>
                  <w:r>
                    <w:rPr>
                      <w:rFonts w:ascii="仿宋_GB2312" w:hAnsi="仿宋_GB2312" w:cs="仿宋_GB2312" w:eastAsia="仿宋_GB2312"/>
                      <w:sz w:val="21"/>
                    </w:rPr>
                    <w:t>4.需支持查看市优秀标杆教师风采信息，展示优秀教师姓名、照片及优秀典型事件介绍。</w:t>
                  </w:r>
                </w:p>
                <w:p>
                  <w:pPr>
                    <w:pStyle w:val="null3"/>
                    <w:jc w:val="both"/>
                  </w:pPr>
                  <w:r>
                    <w:rPr>
                      <w:rFonts w:ascii="仿宋_GB2312" w:hAnsi="仿宋_GB2312" w:cs="仿宋_GB2312" w:eastAsia="仿宋_GB2312"/>
                      <w:sz w:val="21"/>
                    </w:rPr>
                    <w:t>教师专业发展</w:t>
                  </w:r>
                </w:p>
                <w:p>
                  <w:pPr>
                    <w:pStyle w:val="null3"/>
                    <w:jc w:val="both"/>
                  </w:pPr>
                  <w:r>
                    <w:rPr>
                      <w:rFonts w:ascii="仿宋_GB2312" w:hAnsi="仿宋_GB2312" w:cs="仿宋_GB2312" w:eastAsia="仿宋_GB2312"/>
                      <w:sz w:val="21"/>
                    </w:rPr>
                    <w:t>5.需支持市级管理员查看评价数据、教研数据、培训数据、各培训级别的培训人次；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分层评价</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创建评价</w:t>
                  </w:r>
                </w:p>
                <w:p>
                  <w:pPr>
                    <w:pStyle w:val="null3"/>
                    <w:jc w:val="both"/>
                  </w:pPr>
                  <w:r>
                    <w:rPr>
                      <w:rFonts w:ascii="仿宋_GB2312" w:hAnsi="仿宋_GB2312" w:cs="仿宋_GB2312" w:eastAsia="仿宋_GB2312"/>
                      <w:sz w:val="21"/>
                    </w:rPr>
                    <w:t>1.需支持市级管理员统筹创建教师分层评价方案框架；</w:t>
                  </w:r>
                </w:p>
                <w:p>
                  <w:pPr>
                    <w:pStyle w:val="null3"/>
                    <w:jc w:val="both"/>
                  </w:pPr>
                  <w:r>
                    <w:rPr>
                      <w:rFonts w:ascii="仿宋_GB2312" w:hAnsi="仿宋_GB2312" w:cs="仿宋_GB2312" w:eastAsia="仿宋_GB2312"/>
                      <w:sz w:val="21"/>
                    </w:rPr>
                    <w:t>2.需支持对评价对象、评价维度、要点和赋分规则进行配置。</w:t>
                  </w:r>
                </w:p>
                <w:p>
                  <w:pPr>
                    <w:pStyle w:val="null3"/>
                    <w:jc w:val="both"/>
                  </w:pPr>
                  <w:r>
                    <w:rPr>
                      <w:rFonts w:ascii="仿宋_GB2312" w:hAnsi="仿宋_GB2312" w:cs="仿宋_GB2312" w:eastAsia="仿宋_GB2312"/>
                      <w:sz w:val="21"/>
                    </w:rPr>
                    <w:t>框架管理</w:t>
                  </w:r>
                </w:p>
                <w:p>
                  <w:pPr>
                    <w:pStyle w:val="null3"/>
                    <w:jc w:val="both"/>
                  </w:pPr>
                  <w:r>
                    <w:rPr>
                      <w:rFonts w:ascii="仿宋_GB2312" w:hAnsi="仿宋_GB2312" w:cs="仿宋_GB2312" w:eastAsia="仿宋_GB2312"/>
                      <w:sz w:val="21"/>
                    </w:rPr>
                    <w:t>3.需支持管理员对已创建的评价框架进行编辑、复制、删除、导出操作；</w:t>
                  </w:r>
                </w:p>
                <w:p>
                  <w:pPr>
                    <w:pStyle w:val="null3"/>
                    <w:jc w:val="both"/>
                  </w:pPr>
                  <w:r>
                    <w:rPr>
                      <w:rFonts w:ascii="仿宋_GB2312" w:hAnsi="仿宋_GB2312" w:cs="仿宋_GB2312" w:eastAsia="仿宋_GB2312"/>
                      <w:sz w:val="21"/>
                    </w:rPr>
                    <w:t>任务管理</w:t>
                  </w:r>
                </w:p>
                <w:p>
                  <w:pPr>
                    <w:pStyle w:val="null3"/>
                    <w:jc w:val="both"/>
                  </w:pPr>
                  <w:r>
                    <w:rPr>
                      <w:rFonts w:ascii="仿宋_GB2312" w:hAnsi="仿宋_GB2312" w:cs="仿宋_GB2312" w:eastAsia="仿宋_GB2312"/>
                      <w:sz w:val="21"/>
                    </w:rPr>
                    <w:t>4.需支持管理员按评价周期创建评价任务，并下发给参评学校；</w:t>
                  </w:r>
                </w:p>
                <w:p>
                  <w:pPr>
                    <w:pStyle w:val="null3"/>
                    <w:jc w:val="both"/>
                  </w:pPr>
                  <w:r>
                    <w:rPr>
                      <w:rFonts w:ascii="仿宋_GB2312" w:hAnsi="仿宋_GB2312" w:cs="仿宋_GB2312" w:eastAsia="仿宋_GB2312"/>
                      <w:sz w:val="21"/>
                    </w:rPr>
                    <w:t>5.需支持针对评价任务进行消息通知设置。</w:t>
                  </w:r>
                </w:p>
                <w:p>
                  <w:pPr>
                    <w:pStyle w:val="null3"/>
                    <w:jc w:val="both"/>
                  </w:pPr>
                  <w:r>
                    <w:rPr>
                      <w:rFonts w:ascii="仿宋_GB2312" w:hAnsi="仿宋_GB2312" w:cs="仿宋_GB2312" w:eastAsia="仿宋_GB2312"/>
                      <w:sz w:val="21"/>
                    </w:rPr>
                    <w:t>过程监管</w:t>
                  </w:r>
                </w:p>
                <w:p>
                  <w:pPr>
                    <w:pStyle w:val="null3"/>
                    <w:jc w:val="both"/>
                  </w:pPr>
                  <w:r>
                    <w:rPr>
                      <w:rFonts w:ascii="仿宋_GB2312" w:hAnsi="仿宋_GB2312" w:cs="仿宋_GB2312" w:eastAsia="仿宋_GB2312"/>
                      <w:sz w:val="21"/>
                    </w:rPr>
                    <w:t>6.需支持评价过程监管，统计指定时间区间参与率异常的要点、无填报进度或评价数据缺失的教师信息；</w:t>
                  </w:r>
                </w:p>
                <w:p>
                  <w:pPr>
                    <w:pStyle w:val="null3"/>
                    <w:jc w:val="both"/>
                  </w:pPr>
                  <w:r>
                    <w:rPr>
                      <w:rFonts w:ascii="仿宋_GB2312" w:hAnsi="仿宋_GB2312" w:cs="仿宋_GB2312" w:eastAsia="仿宋_GB2312"/>
                      <w:sz w:val="21"/>
                    </w:rPr>
                    <w:t>7.需支持对评价采集要点进行数据来源分析。</w:t>
                  </w:r>
                </w:p>
                <w:p>
                  <w:pPr>
                    <w:pStyle w:val="null3"/>
                    <w:jc w:val="both"/>
                  </w:pPr>
                  <w:r>
                    <w:rPr>
                      <w:rFonts w:ascii="仿宋_GB2312" w:hAnsi="仿宋_GB2312" w:cs="仿宋_GB2312" w:eastAsia="仿宋_GB2312"/>
                      <w:sz w:val="21"/>
                    </w:rPr>
                    <w:t>评价报告</w:t>
                  </w:r>
                </w:p>
                <w:p>
                  <w:pPr>
                    <w:pStyle w:val="null3"/>
                    <w:jc w:val="both"/>
                  </w:pPr>
                  <w:r>
                    <w:rPr>
                      <w:rFonts w:ascii="仿宋_GB2312" w:hAnsi="仿宋_GB2312" w:cs="仿宋_GB2312" w:eastAsia="仿宋_GB2312"/>
                      <w:sz w:val="21"/>
                    </w:rPr>
                    <w:t>8.需支持市级管理员查看本组织下的参评学校校级评价报告；</w:t>
                  </w:r>
                </w:p>
                <w:p>
                  <w:pPr>
                    <w:pStyle w:val="null3"/>
                    <w:jc w:val="both"/>
                  </w:pPr>
                  <w:r>
                    <w:rPr>
                      <w:rFonts w:ascii="仿宋_GB2312" w:hAnsi="仿宋_GB2312" w:cs="仿宋_GB2312" w:eastAsia="仿宋_GB2312"/>
                      <w:sz w:val="21"/>
                    </w:rPr>
                    <w:t>9.需支持市级管理员按参评学校查看参评教师个人评价报告。</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评价案例库</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1.需内置不少于2套校级教师评价典型案例，支持查看评价框架和赋分规则，支持预览评价报告效果；</w:t>
                  </w:r>
                </w:p>
                <w:p>
                  <w:pPr>
                    <w:pStyle w:val="null3"/>
                    <w:jc w:val="both"/>
                  </w:pPr>
                  <w:r>
                    <w:rPr>
                      <w:rFonts w:ascii="仿宋_GB2312" w:hAnsi="仿宋_GB2312" w:cs="仿宋_GB2312" w:eastAsia="仿宋_GB2312"/>
                      <w:sz w:val="21"/>
                    </w:rPr>
                    <w:t>2.支持检测案例评价框架与项目教师数据模型匹配度，给出检测结论；</w:t>
                  </w:r>
                </w:p>
                <w:p>
                  <w:pPr>
                    <w:pStyle w:val="null3"/>
                    <w:jc w:val="both"/>
                  </w:pPr>
                  <w:r>
                    <w:rPr>
                      <w:rFonts w:ascii="仿宋_GB2312" w:hAnsi="仿宋_GB2312" w:cs="仿宋_GB2312" w:eastAsia="仿宋_GB2312"/>
                      <w:sz w:val="21"/>
                    </w:rPr>
                    <w:t>3.支持学校一键复用案例评价框架。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w:t>
                  </w:r>
                </w:p>
              </w:tc>
              <w:tc>
                <w:tcPr>
                  <w:tcW w:type="dxa" w:w="19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大屏显示系统</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室内全彩</w:t>
                  </w:r>
                  <w:r>
                    <w:rPr>
                      <w:rFonts w:ascii="仿宋_GB2312" w:hAnsi="仿宋_GB2312" w:cs="仿宋_GB2312" w:eastAsia="仿宋_GB2312"/>
                      <w:sz w:val="21"/>
                    </w:rPr>
                    <w:t>LED显示屏</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1.1515 SMD封装 模组尺寸320*160；</w:t>
                  </w:r>
                </w:p>
                <w:p>
                  <w:pPr>
                    <w:pStyle w:val="null3"/>
                    <w:jc w:val="both"/>
                  </w:pPr>
                  <w:r>
                    <w:rPr>
                      <w:rFonts w:ascii="仿宋_GB2312" w:hAnsi="仿宋_GB2312" w:cs="仿宋_GB2312" w:eastAsia="仿宋_GB2312"/>
                      <w:sz w:val="21"/>
                    </w:rPr>
                    <w:t>2.驱动IC为PWM节能高刷新；</w:t>
                  </w:r>
                </w:p>
                <w:p>
                  <w:pPr>
                    <w:pStyle w:val="null3"/>
                    <w:jc w:val="both"/>
                  </w:pPr>
                  <w:r>
                    <w:rPr>
                      <w:rFonts w:ascii="仿宋_GB2312" w:hAnsi="仿宋_GB2312" w:cs="仿宋_GB2312" w:eastAsia="仿宋_GB2312"/>
                      <w:sz w:val="21"/>
                    </w:rPr>
                    <w:t>3.像素间距：1.86mm   模组分辨率172*86；</w:t>
                  </w:r>
                </w:p>
                <w:p>
                  <w:pPr>
                    <w:pStyle w:val="null3"/>
                    <w:jc w:val="both"/>
                  </w:pPr>
                  <w:r>
                    <w:rPr>
                      <w:rFonts w:ascii="仿宋_GB2312" w:hAnsi="仿宋_GB2312" w:cs="仿宋_GB2312" w:eastAsia="仿宋_GB2312"/>
                      <w:sz w:val="21"/>
                    </w:rPr>
                    <w:t>4.每平米288906点；</w:t>
                  </w:r>
                </w:p>
                <w:p>
                  <w:pPr>
                    <w:pStyle w:val="null3"/>
                    <w:jc w:val="both"/>
                  </w:pPr>
                  <w:r>
                    <w:rPr>
                      <w:rFonts w:ascii="仿宋_GB2312" w:hAnsi="仿宋_GB2312" w:cs="仿宋_GB2312" w:eastAsia="仿宋_GB2312"/>
                      <w:sz w:val="21"/>
                    </w:rPr>
                    <w:t xml:space="preserve">5.每平米亮度可达到600cd；                                                        </w:t>
                  </w:r>
                </w:p>
                <w:p>
                  <w:pPr>
                    <w:pStyle w:val="null3"/>
                    <w:jc w:val="both"/>
                  </w:pPr>
                  <w:r>
                    <w:rPr>
                      <w:rFonts w:ascii="仿宋_GB2312" w:hAnsi="仿宋_GB2312" w:cs="仿宋_GB2312" w:eastAsia="仿宋_GB2312"/>
                      <w:sz w:val="21"/>
                    </w:rPr>
                    <w:t>6.最大功耗：600W/㎡（在600尼特白平衡状态时）；</w:t>
                  </w:r>
                </w:p>
                <w:p>
                  <w:pPr>
                    <w:pStyle w:val="null3"/>
                    <w:jc w:val="both"/>
                  </w:pPr>
                  <w:r>
                    <w:rPr>
                      <w:rFonts w:ascii="仿宋_GB2312" w:hAnsi="仿宋_GB2312" w:cs="仿宋_GB2312" w:eastAsia="仿宋_GB2312"/>
                      <w:sz w:val="21"/>
                    </w:rPr>
                    <w:t>7.模块塑胶套件采用阻燃等级为UL94V0原材料；</w:t>
                  </w:r>
                </w:p>
                <w:p>
                  <w:pPr>
                    <w:pStyle w:val="null3"/>
                    <w:jc w:val="both"/>
                  </w:pPr>
                  <w:r>
                    <w:rPr>
                      <w:rFonts w:ascii="仿宋_GB2312" w:hAnsi="仿宋_GB2312" w:cs="仿宋_GB2312" w:eastAsia="仿宋_GB2312"/>
                      <w:sz w:val="21"/>
                    </w:rPr>
                    <w:t xml:space="preserve">8.刷新率：3840Hz，换帧频率：50&amp;60Hz，显示屏亮度均匀性≥99%；                                  </w:t>
                  </w:r>
                </w:p>
                <w:p>
                  <w:pPr>
                    <w:pStyle w:val="null3"/>
                    <w:jc w:val="both"/>
                  </w:pPr>
                  <w:r>
                    <w:rPr>
                      <w:rFonts w:ascii="仿宋_GB2312" w:hAnsi="仿宋_GB2312" w:cs="仿宋_GB2312" w:eastAsia="仿宋_GB2312"/>
                      <w:sz w:val="21"/>
                    </w:rPr>
                    <w:t>9.灰度等级：16bit 。</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LED显示屏专用开关电源，输出：5V40A，过流保护/短路保护绝缘强度：500VDC，输出电压5-5.1V，工作环境温度-30-+60℃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接收卡</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1.需支持单卡12个标准HUB75E接口，输出16组RGB数据。</w:t>
                  </w:r>
                  <w:r>
                    <w:br/>
                  </w:r>
                  <w:r>
                    <w:rPr>
                      <w:rFonts w:ascii="仿宋_GB2312" w:hAnsi="仿宋_GB2312" w:cs="仿宋_GB2312" w:eastAsia="仿宋_GB2312"/>
                      <w:sz w:val="21"/>
                    </w:rPr>
                    <w:t>需支持向导式设置，用户根据软件提示即可完成操作，便于完成模组的点亮；</w:t>
                  </w:r>
                </w:p>
                <w:p>
                  <w:pPr>
                    <w:pStyle w:val="null3"/>
                    <w:jc w:val="both"/>
                  </w:pPr>
                  <w:r>
                    <w:rPr>
                      <w:rFonts w:ascii="仿宋_GB2312" w:hAnsi="仿宋_GB2312" w:cs="仿宋_GB2312" w:eastAsia="仿宋_GB2312"/>
                      <w:sz w:val="21"/>
                    </w:rPr>
                    <w:t>2.需支持高灰高刷、低亮高灰显示，可消除某行偏暗、低灰偏红、鬼影等细节问题。</w:t>
                  </w:r>
                </w:p>
                <w:p>
                  <w:pPr>
                    <w:pStyle w:val="null3"/>
                    <w:jc w:val="both"/>
                  </w:pPr>
                  <w:r>
                    <w:rPr>
                      <w:rFonts w:ascii="仿宋_GB2312" w:hAnsi="仿宋_GB2312" w:cs="仿宋_GB2312" w:eastAsia="仿宋_GB2312"/>
                      <w:sz w:val="21"/>
                    </w:rPr>
                    <w:t>3.为保障屏幕色彩一致性，需支持亮度、色度逐点校正，提供校正低灰补偿，保障低灰显示效果。</w:t>
                  </w:r>
                </w:p>
                <w:p>
                  <w:pPr>
                    <w:pStyle w:val="null3"/>
                    <w:jc w:val="both"/>
                  </w:pPr>
                  <w:r>
                    <w:rPr>
                      <w:rFonts w:ascii="仿宋_GB2312" w:hAnsi="仿宋_GB2312" w:cs="仿宋_GB2312" w:eastAsia="仿宋_GB2312"/>
                      <w:sz w:val="21"/>
                    </w:rPr>
                    <w:t>4.需支持一键修缝功能，可消除显示单元间的亮暗线，且不影响原始校正系数。</w:t>
                  </w:r>
                </w:p>
                <w:p>
                  <w:pPr>
                    <w:pStyle w:val="null3"/>
                    <w:jc w:val="both"/>
                  </w:pPr>
                  <w:r>
                    <w:rPr>
                      <w:rFonts w:ascii="仿宋_GB2312" w:hAnsi="仿宋_GB2312" w:cs="仿宋_GB2312" w:eastAsia="仿宋_GB2312"/>
                      <w:sz w:val="21"/>
                    </w:rPr>
                    <w:t>5.需支持各种PWM芯片、双锁存芯片、通用芯片；支持静态屏、1/2~1/64扫之间的任意扫描类型。</w:t>
                  </w:r>
                </w:p>
                <w:p>
                  <w:pPr>
                    <w:pStyle w:val="null3"/>
                    <w:jc w:val="both"/>
                  </w:pPr>
                  <w:r>
                    <w:rPr>
                      <w:rFonts w:ascii="仿宋_GB2312" w:hAnsi="仿宋_GB2312" w:cs="仿宋_GB2312" w:eastAsia="仿宋_GB2312"/>
                      <w:sz w:val="21"/>
                    </w:rPr>
                    <w:t>6.需支持智能串线功能，无需了解接收卡串线顺序，用户可根据屏幕闪烁提示，在软件上完成映射设置。</w:t>
                  </w:r>
                </w:p>
                <w:p>
                  <w:pPr>
                    <w:pStyle w:val="null3"/>
                    <w:jc w:val="both"/>
                  </w:pPr>
                  <w:r>
                    <w:rPr>
                      <w:rFonts w:ascii="仿宋_GB2312" w:hAnsi="仿宋_GB2312" w:cs="仿宋_GB2312" w:eastAsia="仿宋_GB2312"/>
                      <w:sz w:val="21"/>
                    </w:rPr>
                    <w:t>7.需支持抽点显示与数据偏移，可完成异形屏带载。</w:t>
                  </w:r>
                </w:p>
                <w:p>
                  <w:pPr>
                    <w:pStyle w:val="null3"/>
                    <w:jc w:val="both"/>
                  </w:pPr>
                  <w:r>
                    <w:rPr>
                      <w:rFonts w:ascii="仿宋_GB2312" w:hAnsi="仿宋_GB2312" w:cs="仿宋_GB2312" w:eastAsia="仿宋_GB2312"/>
                      <w:sz w:val="21"/>
                    </w:rPr>
                    <w:t>8.需支持一键回读，通过软件可一键回读所有配置文件信息，方便进行产品维护。</w:t>
                  </w:r>
                </w:p>
                <w:p>
                  <w:pPr>
                    <w:pStyle w:val="null3"/>
                    <w:jc w:val="both"/>
                  </w:pPr>
                  <w:r>
                    <w:rPr>
                      <w:rFonts w:ascii="仿宋_GB2312" w:hAnsi="仿宋_GB2312" w:cs="仿宋_GB2312" w:eastAsia="仿宋_GB2312"/>
                      <w:sz w:val="21"/>
                    </w:rPr>
                    <w:t>9.需支持一键修复，维护更换卡时无需对其重新调试，可一键恢复参数设置。</w:t>
                  </w:r>
                </w:p>
                <w:p>
                  <w:pPr>
                    <w:pStyle w:val="null3"/>
                    <w:jc w:val="both"/>
                  </w:pPr>
                  <w:r>
                    <w:rPr>
                      <w:rFonts w:ascii="仿宋_GB2312" w:hAnsi="仿宋_GB2312" w:cs="仿宋_GB2312" w:eastAsia="仿宋_GB2312"/>
                      <w:sz w:val="21"/>
                    </w:rPr>
                    <w:t>10.需支持对产品网络通信状态进行实时检测，反馈数据包总数、错误包数及网线连接顺序、在线接收卡数量等数据。</w:t>
                  </w:r>
                </w:p>
                <w:p>
                  <w:pPr>
                    <w:pStyle w:val="null3"/>
                    <w:jc w:val="both"/>
                  </w:pPr>
                  <w:r>
                    <w:rPr>
                      <w:rFonts w:ascii="仿宋_GB2312" w:hAnsi="仿宋_GB2312" w:cs="仿宋_GB2312" w:eastAsia="仿宋_GB2312"/>
                      <w:sz w:val="21"/>
                    </w:rPr>
                    <w:t>11.需支持接收卡网口备份功能，备份状态下，接收卡网络数据为双向传输，保障显示屏播出正常。</w:t>
                  </w:r>
                </w:p>
                <w:p>
                  <w:pPr>
                    <w:pStyle w:val="null3"/>
                    <w:jc w:val="both"/>
                  </w:pPr>
                  <w:r>
                    <w:rPr>
                      <w:rFonts w:ascii="仿宋_GB2312" w:hAnsi="仿宋_GB2312" w:cs="仿宋_GB2312" w:eastAsia="仿宋_GB2312"/>
                      <w:sz w:val="21"/>
                    </w:rPr>
                    <w:t>12.需支持程序升级断电保护功能，保证产品后续升级的安全性。</w:t>
                  </w:r>
                </w:p>
                <w:p>
                  <w:pPr>
                    <w:pStyle w:val="null3"/>
                    <w:jc w:val="both"/>
                  </w:pPr>
                  <w:r>
                    <w:rPr>
                      <w:rFonts w:ascii="仿宋_GB2312" w:hAnsi="仿宋_GB2312" w:cs="仿宋_GB2312" w:eastAsia="仿宋_GB2312"/>
                      <w:sz w:val="21"/>
                    </w:rPr>
                    <w:t>13.需支持用户使用控制软件识别接收卡版本情况，由软件自动推荐升级固件，防止固件错误加载</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LED视频处理器</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1.需支持常见的视频接口输入，包括1路DVI，2路HDMI1.4 ；</w:t>
                  </w:r>
                  <w:r>
                    <w:br/>
                  </w:r>
                  <w:r>
                    <w:rPr>
                      <w:rFonts w:ascii="仿宋_GB2312" w:hAnsi="仿宋_GB2312" w:cs="仿宋_GB2312" w:eastAsia="仿宋_GB2312"/>
                      <w:sz w:val="21"/>
                    </w:rPr>
                    <w:t>需支持最大支持</w:t>
                  </w:r>
                  <w:r>
                    <w:rPr>
                      <w:rFonts w:ascii="仿宋_GB2312" w:hAnsi="仿宋_GB2312" w:cs="仿宋_GB2312" w:eastAsia="仿宋_GB2312"/>
                      <w:sz w:val="21"/>
                    </w:rPr>
                    <w:t>4K×1K@60Hz图像处理能力，支持HDMI、DVI输入分辨率自定义调节；</w:t>
                  </w:r>
                </w:p>
                <w:p>
                  <w:pPr>
                    <w:pStyle w:val="null3"/>
                    <w:jc w:val="both"/>
                  </w:pPr>
                  <w:r>
                    <w:rPr>
                      <w:rFonts w:ascii="仿宋_GB2312" w:hAnsi="仿宋_GB2312" w:cs="仿宋_GB2312" w:eastAsia="仿宋_GB2312"/>
                      <w:sz w:val="21"/>
                    </w:rPr>
                    <w:t>2.需支持3个独立窗口显示；</w:t>
                  </w:r>
                </w:p>
                <w:p>
                  <w:pPr>
                    <w:pStyle w:val="null3"/>
                    <w:jc w:val="both"/>
                  </w:pPr>
                  <w:r>
                    <w:rPr>
                      <w:rFonts w:ascii="仿宋_GB2312" w:hAnsi="仿宋_GB2312" w:cs="仿宋_GB2312" w:eastAsia="仿宋_GB2312"/>
                      <w:sz w:val="21"/>
                    </w:rPr>
                    <w:t>3.需支持视频输出最大带载650万像素；</w:t>
                  </w:r>
                </w:p>
                <w:p>
                  <w:pPr>
                    <w:pStyle w:val="null3"/>
                    <w:jc w:val="both"/>
                  </w:pPr>
                  <w:r>
                    <w:rPr>
                      <w:rFonts w:ascii="仿宋_GB2312" w:hAnsi="仿宋_GB2312" w:cs="仿宋_GB2312" w:eastAsia="仿宋_GB2312"/>
                      <w:sz w:val="21"/>
                    </w:rPr>
                    <w:t>4.需支持带载屏体亮度调节；</w:t>
                  </w:r>
                </w:p>
                <w:p>
                  <w:pPr>
                    <w:pStyle w:val="null3"/>
                    <w:jc w:val="both"/>
                  </w:pPr>
                  <w:r>
                    <w:rPr>
                      <w:rFonts w:ascii="仿宋_GB2312" w:hAnsi="仿宋_GB2312" w:cs="仿宋_GB2312" w:eastAsia="仿宋_GB2312"/>
                      <w:sz w:val="21"/>
                    </w:rPr>
                    <w:t>5.需支持创建多个用户场景作为模板保存，方便使用；</w:t>
                  </w:r>
                </w:p>
                <w:p>
                  <w:pPr>
                    <w:pStyle w:val="null3"/>
                    <w:jc w:val="both"/>
                  </w:pPr>
                  <w:r>
                    <w:rPr>
                      <w:rFonts w:ascii="仿宋_GB2312" w:hAnsi="仿宋_GB2312" w:cs="仿宋_GB2312" w:eastAsia="仿宋_GB2312"/>
                      <w:sz w:val="21"/>
                    </w:rPr>
                    <w:t>6.需支持配备直观的LCD 显示界面，简化系统的控制操作。</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LED专用配电柜</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智能配电柜，</w:t>
                  </w:r>
                  <w:r>
                    <w:rPr>
                      <w:rFonts w:ascii="仿宋_GB2312" w:hAnsi="仿宋_GB2312" w:cs="仿宋_GB2312" w:eastAsia="仿宋_GB2312"/>
                      <w:sz w:val="21"/>
                    </w:rPr>
                    <w:t>380V转220v配电装置，采用三相配电平衡方案，具有过流、短路、断路、欠压、过热等保护措施，保护屏幕用电安全，配电柜内部空开每路荷载3kw，具有延时上电功能。配电柜配置专业多功能卡，可与控制电脑通过网线连接，用户可通过电脑端软件读取屏幕相关数据、远程控制屏幕开关机，无需手动拉闸或按钮控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控制电脑</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I7/16G/256G/显示器键鼠</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辅材及调试</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1.显示屏支架：定制全镀锌管钢架焊接壁挂结构；</w:t>
                  </w:r>
                </w:p>
                <w:p>
                  <w:pPr>
                    <w:pStyle w:val="null3"/>
                    <w:jc w:val="both"/>
                  </w:pPr>
                  <w:r>
                    <w:rPr>
                      <w:rFonts w:ascii="仿宋_GB2312" w:hAnsi="仿宋_GB2312" w:cs="仿宋_GB2312" w:eastAsia="仿宋_GB2312"/>
                      <w:sz w:val="21"/>
                    </w:rPr>
                    <w:t>2.辅材线缆：含视频处理器到屏幕的网线/智能配电柜到屏幕的供电线缆；</w:t>
                  </w:r>
                </w:p>
                <w:p>
                  <w:pPr>
                    <w:pStyle w:val="null3"/>
                    <w:jc w:val="both"/>
                  </w:pPr>
                  <w:r>
                    <w:rPr>
                      <w:rFonts w:ascii="仿宋_GB2312" w:hAnsi="仿宋_GB2312" w:cs="仿宋_GB2312" w:eastAsia="仿宋_GB2312"/>
                      <w:sz w:val="21"/>
                    </w:rPr>
                    <w:t>3.运输安装调试：屏幕的安装调试</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w:t>
                  </w:r>
                </w:p>
              </w:tc>
              <w:tc>
                <w:tcPr>
                  <w:tcW w:type="dxa" w:w="19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系统集成</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系统集成</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包含系统集成服务、产品培训服务、教学教研服务；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严格按照本项目磋商文件、成交供应商响应文件、已签订的合同文本及国家/行业相关标准及规范等要求标准验收。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以合同文本为准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本次采购为固定总价包干。供应商报价时，应包含本次采购清单范围内且达到该标准的所有产品的开发服务费、安装调试费、培训服务费、人员工资、差旅费、工器具使用费、材料费（含辅材）、管理费、利润、税金等达到使用条件的一切费用。如有漏项，应被认为包含在其他产品价格中，结算时不再调整。3.4.2供应商在填写《中小企业声明函》时，①采购标的所属行业填写：“大屏显示系统”所属行业为“工业”，其他均为“软件和信息技术服务业”；②承接企业填写：第1-3大项填写系统开发商信息；第4大项填写制造商信息；第5大项填写服务商信息。3.4.3本次采购项目核心产品为“学业质量检测大数据管理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①可提供2024年度经审计的财务报告（包含审计报告和审计报告中所涉及的财务报表和报表附注），②可提供截至响应文件提交截止日一年内银行出具的资信证明（以上两种形式的资料提供任何一种即可）。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 xml:space="preserve"> 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合同文本条款响应.docx 标的清单 报价表 响应函 供应商承诺书.docx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同时满足以下条款：（1）货币单位符合磋商文件要求；（2）报价符合唯一性要求；（3）未超出采购预算及最高限价；（4）符合《报价表》、《分项报价表》及《标的清单》的填报要求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强制节能产品认证</w:t>
            </w:r>
          </w:p>
        </w:tc>
        <w:tc>
          <w:tcPr>
            <w:tcW w:type="dxa" w:w="3322"/>
          </w:tcPr>
          <w:p>
            <w:pPr>
              <w:pStyle w:val="null3"/>
            </w:pPr>
            <w:r>
              <w:rPr>
                <w:rFonts w:ascii="仿宋_GB2312" w:hAnsi="仿宋_GB2312" w:cs="仿宋_GB2312" w:eastAsia="仿宋_GB2312"/>
              </w:rPr>
              <w:t>供应商须提供投标产品（室内全彩LED显示屏、控制电脑）的国家确定的认证机构出具的、处于有效期之内的节能产品认证证书。</w:t>
            </w:r>
          </w:p>
        </w:tc>
        <w:tc>
          <w:tcPr>
            <w:tcW w:type="dxa" w:w="1661"/>
          </w:tcPr>
          <w:p>
            <w:pPr>
              <w:pStyle w:val="null3"/>
            </w:pPr>
            <w:r>
              <w:rPr>
                <w:rFonts w:ascii="仿宋_GB2312" w:hAnsi="仿宋_GB2312" w:cs="仿宋_GB2312" w:eastAsia="仿宋_GB2312"/>
              </w:rPr>
              <w:t>服务内容及服务邀请应答表 其他资料.docx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国家强制性产品认证</w:t>
            </w:r>
          </w:p>
        </w:tc>
        <w:tc>
          <w:tcPr>
            <w:tcW w:type="dxa" w:w="3322"/>
          </w:tcPr>
          <w:p>
            <w:pPr>
              <w:pStyle w:val="null3"/>
            </w:pPr>
            <w:r>
              <w:rPr>
                <w:rFonts w:ascii="仿宋_GB2312" w:hAnsi="仿宋_GB2312" w:cs="仿宋_GB2312" w:eastAsia="仿宋_GB2312"/>
              </w:rPr>
              <w:t>供应商须提供投标产品（室内全彩LED显示屏、控制电脑）的国家确定的认证机构出具的、处于有效期之内的国家强制性产品认证证书（即国家CCC认证证书）。</w:t>
            </w:r>
          </w:p>
        </w:tc>
        <w:tc>
          <w:tcPr>
            <w:tcW w:type="dxa" w:w="1661"/>
          </w:tcPr>
          <w:p>
            <w:pPr>
              <w:pStyle w:val="null3"/>
            </w:pPr>
            <w:r>
              <w:rPr>
                <w:rFonts w:ascii="仿宋_GB2312" w:hAnsi="仿宋_GB2312" w:cs="仿宋_GB2312" w:eastAsia="仿宋_GB2312"/>
              </w:rPr>
              <w:t>服务内容及服务邀请应答表 其他资料.docx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所投系统（1.智慧教育大数据驾驶舱2.学业质量检测大数据管理系统3.教师全息画像系统）有详细的使用说明介绍，提供详细的产品配置及功能说明，并能说明系统的先进性、稳定性及选型的合理性，证明材料（包括但不限于检测报告、测试报告、官网和功能截图、彩页、说明书、开发商承诺等相关资料）。配置功能齐全、技术资料齐全，内容全面，每个系统得3分；配置功能基本齐全、技术资料较齐全，内容一般，每个系统得2分；提供产品的质量、功能有明显的缺陷、技术资料不齐全，内容欠缺，每个系统得1分；未提供不计分。本项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提供供货服务方案（包含实施进度计划、安装调试、系统集成、验收、质量保障及安全风险防范等内容）：供货安装方案针对性、全面性、合理性、完整性、安装方法符合项目实际现场情况、工艺先进、方法科学合理、可行性强的，计10分；供货安装方案内容针对性、全面性、合理性较强，安装方法较为符合项目实际现场情况，但不影响项目工程实质性实施的，计7分；供货安装方案缺乏针对性，可行性差的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的售后服务方案(包含售后服务体系、服务保障方案、人员配置安排、响应时间和服务电话、运维服务移动端小程序及使用界面截图等内容)进行评审：响应售后服务要求，服务方案内容详实、运维服务能力强且提供软著及截图的，计5分。响应售后服务要求，服务方案内容较详实、运维服务能力较好且较切合实际的，计4分。基本响应售后服务要求，服务方案基本符合要求，运维服务能力基本符合要求，计3分。方案内容不完整，响应有缺项，与实际需求不符，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针对本项目具有可行的技术培训方案，培训采购人指定的技术人员和管理人员，制定培训课程计划表，列出每种培训的地点和时间，培训内容应包括专业理论培训、操作系统培训、 简单故障处理培训、统计报结培训等。方案全面合理可行、针对性强、且能提供实质性培训内容与案例得6分，方案较全面合理可行、针对性较强得4分；方案基本合理可行、针对性一般得3分，方案部分合理可行、有一定针对性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组织机构及工作计划安排</w:t>
            </w:r>
          </w:p>
        </w:tc>
        <w:tc>
          <w:tcPr>
            <w:tcW w:type="dxa" w:w="2492"/>
          </w:tcPr>
          <w:p>
            <w:pPr>
              <w:pStyle w:val="null3"/>
            </w:pPr>
            <w:r>
              <w:rPr>
                <w:rFonts w:ascii="仿宋_GB2312" w:hAnsi="仿宋_GB2312" w:cs="仿宋_GB2312" w:eastAsia="仿宋_GB2312"/>
              </w:rPr>
              <w:t>供应商提供针对本项目的专业的组织机构、工作计划安排以及服务时间响应。组织机构完整、工作计划安排合理、服务响应及时且有效得5分；组织机构较较完整、工作计划安排较合理、服务响应及时欠有效得3分；方案组织机构不够完整、工作计划安排不合理、服务响应不及时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系统安全方案</w:t>
            </w:r>
          </w:p>
        </w:tc>
        <w:tc>
          <w:tcPr>
            <w:tcW w:type="dxa" w:w="2492"/>
          </w:tcPr>
          <w:p>
            <w:pPr>
              <w:pStyle w:val="null3"/>
            </w:pPr>
            <w:r>
              <w:rPr>
                <w:rFonts w:ascii="仿宋_GB2312" w:hAnsi="仿宋_GB2312" w:cs="仿宋_GB2312" w:eastAsia="仿宋_GB2312"/>
              </w:rPr>
              <w:t>系统建设完成后，供应商须承诺本次建设开发的系统通过安全等级保护测评，并获得测评机构出具的测评报告，系统安全等级不低于二级。供应商提供信息系统安全设计方案：方案完整详细、可操作性强、合理、可行，并提供符合采购要求的测评报告的，计10分；方案较完整，可操作性较强，与实际需求偏差较少，未提供测评报告的，计分6分；方案基本完整，可操作性一般，与实际需求有偏差，未提供测评报告的，计4分；方案内容不完整，响应有缺项，与实际需求不符，计2分；无承诺或未提供方案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数据交互方案</w:t>
            </w:r>
          </w:p>
        </w:tc>
        <w:tc>
          <w:tcPr>
            <w:tcW w:type="dxa" w:w="2492"/>
          </w:tcPr>
          <w:p>
            <w:pPr>
              <w:pStyle w:val="null3"/>
            </w:pPr>
            <w:r>
              <w:rPr>
                <w:rFonts w:ascii="仿宋_GB2312" w:hAnsi="仿宋_GB2312" w:cs="仿宋_GB2312" w:eastAsia="仿宋_GB2312"/>
              </w:rPr>
              <w:t>供应商须承诺本次提供的智慧教育系统接入采购人现有的教育云平台。供应商提供对接方案详细说明及项目的建成后的可维护性及可扩展性，如扩容、功能扩充、增加学校等：系统对接方案详实、合理可行、可操作性强，计10分；系统对接方案基本完整、可操作性一般，计7分；系统对接方案不完整、不合理，有明显缺项，计4分；方案内容不完整，响应有缺项，与实际需求不符，计2分；无承诺或未提供方案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所投系统（1.智慧教育大数据驾驶舱2.学业质量检测大数据管理系统3.教师全息画像系统）货源渠道正规、供应充足，开发商明确。制造商直接参与本项目投标的，须提供相关证明材料（包括但不限于官网截图、承诺、产品说明等相关资料）；如为经销商参与本项目投标的，须提供开发商出具的授权书，每个系统得3分，最高得9分。（注：分系统与其所属大系统非同一开发商开发的，须按大系统提供所有分系统的来源证明，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运维保障方案</w:t>
            </w:r>
          </w:p>
        </w:tc>
        <w:tc>
          <w:tcPr>
            <w:tcW w:type="dxa" w:w="2492"/>
          </w:tcPr>
          <w:p>
            <w:pPr>
              <w:pStyle w:val="null3"/>
            </w:pPr>
            <w:r>
              <w:rPr>
                <w:rFonts w:ascii="仿宋_GB2312" w:hAnsi="仿宋_GB2312" w:cs="仿宋_GB2312" w:eastAsia="仿宋_GB2312"/>
              </w:rPr>
              <w:t>针对本项目有具体、可行的运维保障方案，并能够提出对本项目运维实施过程中的重点、难点给出有针对性、建设性的解决方案。包括但不限于后续系统完善升级保障方案、日常系统应用技术支持方案、故障响应处置方案等。磋商小组根据响应文件响应程度综合评审：方案整体科学合理，描述详细，可操作性强，得10 分；方案整体有一定的合理性和可操作性，得7分；方案整体合理性和可操作性一般得4分；方案内容不完整，响应有缺项，与实际需求不符，计2分；未提供不计分。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供应商提供2022年1月1日至今具有类似项目经验，每提供一份得2分，最多得10分。评审依据：提供合同扫描件并加盖公章，未提供或提供不符不得分。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tc>
      </w:tr>
      <w:tr>
        <w:tc>
          <w:tcPr>
            <w:tcW w:type="dxa" w:w="831"/>
            <w:vMerge/>
          </w:tcPr>
          <w:p/>
        </w:tc>
        <w:tc>
          <w:tcPr>
            <w:tcW w:type="dxa" w:w="1661"/>
          </w:tcPr>
          <w:p>
            <w:pPr>
              <w:pStyle w:val="null3"/>
            </w:pPr>
            <w:r>
              <w:rPr>
                <w:rFonts w:ascii="仿宋_GB2312" w:hAnsi="仿宋_GB2312" w:cs="仿宋_GB2312" w:eastAsia="仿宋_GB2312"/>
              </w:rPr>
              <w:t>软件著作权证书</w:t>
            </w:r>
          </w:p>
        </w:tc>
        <w:tc>
          <w:tcPr>
            <w:tcW w:type="dxa" w:w="2492"/>
          </w:tcPr>
          <w:p>
            <w:pPr>
              <w:pStyle w:val="null3"/>
            </w:pPr>
            <w:r>
              <w:rPr>
                <w:rFonts w:ascii="仿宋_GB2312" w:hAnsi="仿宋_GB2312" w:cs="仿宋_GB2312" w:eastAsia="仿宋_GB2312"/>
              </w:rPr>
              <w:t>所投系统（1.智慧教育大数据驾驶舱2.学业质量检测大数据管理系统3.教师全息画像系统）具有软件著作权证书，每个系统得2分，最高得6分。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详见附件：业绩汇总表.docx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