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版本号：2025-HXCT-068.1B320251027001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院内制剂研发申报项目(四次)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2025-HXCT-068.1B3</w:t>
      </w:r>
      <w:r>
        <w:br/>
      </w:r>
      <w:r>
        <w:br/>
      </w:r>
      <w:r>
        <w:br/>
      </w:r>
    </w:p>
    <w:p>
      <w:pPr>
        <w:pStyle w:val="null3"/>
        <w:jc w:val="center"/>
        <w:outlineLvl w:val="2"/>
      </w:pPr>
      <w:r>
        <w:rPr>
          <w:rFonts w:ascii="仿宋_GB2312" w:hAnsi="仿宋_GB2312" w:cs="仿宋_GB2312" w:eastAsia="仿宋_GB2312"/>
          <w:sz w:val="28"/>
          <w:b/>
        </w:rPr>
        <w:t>北京中医药大学孙思邈医院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院内制剂研发申报项目(四次)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2025-HXCT-068.1B3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院内制剂研发申报项目(四次)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北京中医药大学孙思邈医院拟将三个治疗心血管疾病的经验方(络衡浓缩方、鹿衔双参通脉方、青龙通络定悸方)进行院内制剂研发申报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1、有效的资格主体证明：：供应商应为具有独立承担民事责任能力的法人或其他组织，提供法人或者其他组织的营业执照 等证明文件，自然人的身份证明。供应商需在项目电子化交易系统中按要求提供相关证明材料并进行电子签章</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法人委托授权书必须由法定代表人及被授权人签字或盖章。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3、财务状况报告：提供经审计的2024年度的财务报告或提交投标文件截止时间前六个月内其基本账户开户银行出具的资信证明；其他组织和自然人提供银行出具的资信证明或财务报表；供应商需在项目电子化交易系统中按要求提供相关证明材料并进行电子签章。</w:t>
      </w:r>
    </w:p>
    <w:p>
      <w:pPr>
        <w:pStyle w:val="null3"/>
      </w:pPr>
      <w:r>
        <w:rPr>
          <w:rFonts w:ascii="仿宋_GB2312" w:hAnsi="仿宋_GB2312" w:cs="仿宋_GB2312" w:eastAsia="仿宋_GB2312"/>
        </w:rPr>
        <w:t>4、税收缴纳证明：提供2024年10月至今任意一个月的纳税证明或税务机关开具的完税证明，依法免税的单位应提供相关证明材料；供应商需在项目电子化交易系统中按要求提供相关证明材料并进行电子签章。</w:t>
      </w:r>
    </w:p>
    <w:p>
      <w:pPr>
        <w:pStyle w:val="null3"/>
      </w:pPr>
      <w:r>
        <w:rPr>
          <w:rFonts w:ascii="仿宋_GB2312" w:hAnsi="仿宋_GB2312" w:cs="仿宋_GB2312" w:eastAsia="仿宋_GB2312"/>
        </w:rPr>
        <w:t>5、社会保障资金缴纳证明：提供2024年10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pPr>
        <w:pStyle w:val="null3"/>
      </w:pPr>
      <w:r>
        <w:rPr>
          <w:rFonts w:ascii="仿宋_GB2312" w:hAnsi="仿宋_GB2312" w:cs="仿宋_GB2312" w:eastAsia="仿宋_GB2312"/>
        </w:rPr>
        <w:t>6、信用记录查询：供应商不得为“信用中国”网站（www.creditchina.gov.cn）被列入“失信被执行人”“重大税收违法案件当事人名单”的供应商，不得为“中国政府采购网”(www.ccgp.gov.cn)被列入“政府采购严重违法失信行为记录名单”的供应商。以代理机构开标当天在相关网站查询结果为准。</w:t>
      </w:r>
    </w:p>
    <w:p>
      <w:pPr>
        <w:pStyle w:val="null3"/>
      </w:pPr>
      <w:r>
        <w:rPr>
          <w:rFonts w:ascii="仿宋_GB2312" w:hAnsi="仿宋_GB2312" w:cs="仿宋_GB2312" w:eastAsia="仿宋_GB2312"/>
        </w:rPr>
        <w:t>7、无重大违法记录声明：参加政府采购活动前三年内，在经营活动中没有重大违法记录：参加政府采购活动前三年内，在经营活动中没有重大违法记录提供书面声明；供应商需在项目电子化交易系统中按要求提供相关证明材料并进行电子签章。</w:t>
      </w:r>
    </w:p>
    <w:p>
      <w:pPr>
        <w:pStyle w:val="null3"/>
      </w:pPr>
      <w:r>
        <w:rPr>
          <w:rFonts w:ascii="仿宋_GB2312" w:hAnsi="仿宋_GB2312" w:cs="仿宋_GB2312" w:eastAsia="仿宋_GB2312"/>
        </w:rPr>
        <w:t>8、具有履行合同所必需的设备和专业技术能力：提供书面声明，包括声明具有履行合同所必需的设备和专业技术能力；未为本项目提供整体设计、规范编制或者项目管理、监理、检测等服务。供应商需在项目电子化交易系统中按要求提供相关证明材料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0919-8181243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薛梅梅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029-89605595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说明：缴纳说明：合同签订后 ，达到付款条件起 15 日内，支付合同总金额的 60.00%。中标人同时向采购人提供中标价10%的履约保证金或履约保函,最终验收合格后30日内采购人退还履约保证金或履约保函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招标代理服务收费管理暂行办法的通知》（计价格【2002】1980号）和国家发改委办公厅颁发的《关于招标代理服务收费有关问题的通知》（发改办价格【2003】857号）文件规定标准向中标人收取招标代理服务费。 账户名称：华夏城投项目管理有限公司 开 户 行：工商银行延安南关支行 账 号：2609080309024803489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北京中医药大学孙思邈医院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联系人：薛梅梅</w:t>
      </w:r>
    </w:p>
    <w:p>
      <w:pPr>
        <w:pStyle w:val="null3"/>
      </w:pPr>
      <w:r>
        <w:rPr>
          <w:rFonts w:ascii="仿宋_GB2312" w:hAnsi="仿宋_GB2312" w:cs="仿宋_GB2312" w:eastAsia="仿宋_GB2312"/>
        </w:rPr>
        <w:t>联系电话：02989605595</w:t>
      </w:r>
    </w:p>
    <w:p>
      <w:pPr>
        <w:pStyle w:val="null3"/>
      </w:pPr>
      <w:r>
        <w:rPr>
          <w:rFonts w:ascii="仿宋_GB2312" w:hAnsi="仿宋_GB2312" w:cs="仿宋_GB2312" w:eastAsia="仿宋_GB2312"/>
        </w:rPr>
        <w:t>地址：西安市经济开发区长和国际D座26楼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北京中医药大学孙思邈医院拟将三个治疗心血管疾病的经验方(络衡浓缩方、鹿衔双参通脉方、青龙通络定悸方)进行院内制剂研发申报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院内制剂研发申报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标的名称：院内制剂研发申报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4"/>
                <w:b/>
              </w:rPr>
              <w:t>一、采购需求</w:t>
            </w:r>
          </w:p>
          <w:p>
            <w:pPr>
              <w:pStyle w:val="null3"/>
              <w:ind w:firstLine="640"/>
              <w:jc w:val="both"/>
            </w:pPr>
            <w:r>
              <w:rPr>
                <w:rFonts w:ascii="仿宋_GB2312" w:hAnsi="仿宋_GB2312" w:cs="仿宋_GB2312" w:eastAsia="仿宋_GB2312"/>
                <w:sz w:val="24"/>
              </w:rPr>
              <w:t>北京中医药大学孙思邈医院拟将三个治疗心血管疾病的经验方（络衡浓缩方、鹿衔双参通脉方、青龙通络定悸方）进行院内制剂研发申报工作。采购需求具体如下：</w:t>
            </w:r>
          </w:p>
          <w:p>
            <w:pPr>
              <w:pStyle w:val="null3"/>
              <w:ind w:firstLine="640"/>
              <w:jc w:val="both"/>
            </w:pPr>
            <w:r>
              <w:rPr>
                <w:rFonts w:ascii="仿宋_GB2312" w:hAnsi="仿宋_GB2312" w:cs="仿宋_GB2312" w:eastAsia="仿宋_GB2312"/>
                <w:sz w:val="24"/>
              </w:rPr>
              <w:t>1、制剂需获得陕西省医疗机构中药制剂的备案号，并在陕西省食品药品监督管理局网站可查；</w:t>
            </w:r>
          </w:p>
          <w:p>
            <w:pPr>
              <w:pStyle w:val="null3"/>
              <w:ind w:firstLine="640"/>
              <w:jc w:val="both"/>
            </w:pPr>
            <w:r>
              <w:rPr>
                <w:rFonts w:ascii="仿宋_GB2312" w:hAnsi="仿宋_GB2312" w:cs="仿宋_GB2312" w:eastAsia="仿宋_GB2312"/>
                <w:sz w:val="24"/>
              </w:rPr>
              <w:t xml:space="preserve">2、按照陕西省医疗机构应用传统工艺配制中药制剂的有关规定及现行标准，对医院临床经验方，完成院内制剂研发申报等。   </w:t>
            </w:r>
          </w:p>
          <w:p>
            <w:pPr>
              <w:pStyle w:val="null3"/>
              <w:ind w:firstLine="643"/>
              <w:jc w:val="both"/>
            </w:pPr>
            <w:r>
              <w:rPr>
                <w:rFonts w:ascii="仿宋_GB2312" w:hAnsi="仿宋_GB2312" w:cs="仿宋_GB2312" w:eastAsia="仿宋_GB2312"/>
                <w:sz w:val="24"/>
                <w:b/>
              </w:rPr>
              <w:t>二、经验方名称</w:t>
            </w:r>
          </w:p>
          <w:p>
            <w:pPr>
              <w:pStyle w:val="null3"/>
              <w:ind w:firstLine="640"/>
              <w:jc w:val="both"/>
            </w:pPr>
            <w:r>
              <w:rPr>
                <w:rFonts w:ascii="仿宋_GB2312" w:hAnsi="仿宋_GB2312" w:cs="仿宋_GB2312" w:eastAsia="仿宋_GB2312"/>
                <w:sz w:val="24"/>
              </w:rPr>
              <w:t>1、络衡浓缩方</w:t>
            </w:r>
          </w:p>
          <w:p>
            <w:pPr>
              <w:pStyle w:val="null3"/>
              <w:ind w:firstLine="640"/>
              <w:jc w:val="both"/>
            </w:pPr>
            <w:r>
              <w:rPr>
                <w:rFonts w:ascii="仿宋_GB2312" w:hAnsi="仿宋_GB2312" w:cs="仿宋_GB2312" w:eastAsia="仿宋_GB2312"/>
                <w:sz w:val="24"/>
              </w:rPr>
              <w:t>2、鹿衔双参通脉方</w:t>
            </w:r>
          </w:p>
          <w:p>
            <w:pPr>
              <w:pStyle w:val="null3"/>
              <w:ind w:firstLine="640"/>
              <w:jc w:val="both"/>
            </w:pPr>
            <w:r>
              <w:rPr>
                <w:rFonts w:ascii="仿宋_GB2312" w:hAnsi="仿宋_GB2312" w:cs="仿宋_GB2312" w:eastAsia="仿宋_GB2312"/>
                <w:sz w:val="24"/>
              </w:rPr>
              <w:t>3、青龙通络定悸方</w:t>
            </w:r>
          </w:p>
          <w:p>
            <w:pPr>
              <w:pStyle w:val="null3"/>
              <w:ind w:firstLine="643"/>
              <w:jc w:val="both"/>
            </w:pPr>
            <w:r>
              <w:rPr>
                <w:rFonts w:ascii="仿宋_GB2312" w:hAnsi="仿宋_GB2312" w:cs="仿宋_GB2312" w:eastAsia="仿宋_GB2312"/>
                <w:sz w:val="24"/>
                <w:b/>
              </w:rPr>
              <w:t>三、具体技术要求</w:t>
            </w:r>
          </w:p>
          <w:p>
            <w:pPr>
              <w:pStyle w:val="null3"/>
              <w:ind w:firstLine="640"/>
              <w:jc w:val="both"/>
            </w:pPr>
            <w:r>
              <w:rPr>
                <w:rFonts w:ascii="仿宋_GB2312" w:hAnsi="仿宋_GB2312" w:cs="仿宋_GB2312" w:eastAsia="仿宋_GB2312"/>
                <w:sz w:val="24"/>
              </w:rPr>
              <w:t>1、按照《陕西省医疗机构应用传统工艺配制中药制剂备案管理实施细则》《中国药典2025版》及省级标准完成以下工作：</w:t>
            </w:r>
          </w:p>
          <w:p>
            <w:pPr>
              <w:pStyle w:val="null3"/>
              <w:ind w:firstLine="640"/>
              <w:jc w:val="both"/>
            </w:pPr>
            <w:r>
              <w:rPr>
                <w:rFonts w:ascii="仿宋_GB2312" w:hAnsi="仿宋_GB2312" w:cs="仿宋_GB2312" w:eastAsia="仿宋_GB2312"/>
                <w:sz w:val="24"/>
              </w:rPr>
              <w:t>（1）制剂的处方筛选、审定；</w:t>
            </w:r>
          </w:p>
          <w:p>
            <w:pPr>
              <w:pStyle w:val="null3"/>
              <w:ind w:firstLine="640"/>
              <w:jc w:val="both"/>
            </w:pPr>
            <w:r>
              <w:rPr>
                <w:rFonts w:ascii="仿宋_GB2312" w:hAnsi="仿宋_GB2312" w:cs="仿宋_GB2312" w:eastAsia="仿宋_GB2312"/>
                <w:sz w:val="24"/>
              </w:rPr>
              <w:t>（2）制剂的工艺筛选研究；</w:t>
            </w:r>
          </w:p>
          <w:p>
            <w:pPr>
              <w:pStyle w:val="null3"/>
              <w:ind w:firstLine="640"/>
              <w:jc w:val="both"/>
            </w:pPr>
            <w:r>
              <w:rPr>
                <w:rFonts w:ascii="仿宋_GB2312" w:hAnsi="仿宋_GB2312" w:cs="仿宋_GB2312" w:eastAsia="仿宋_GB2312"/>
                <w:sz w:val="24"/>
              </w:rPr>
              <w:t>（3）制剂的中试放大生产研究（含三批样品的生产费用、药材费用、辅料费用、包装材料费用等）；</w:t>
            </w:r>
          </w:p>
          <w:p>
            <w:pPr>
              <w:pStyle w:val="null3"/>
              <w:ind w:firstLine="640"/>
              <w:jc w:val="both"/>
            </w:pPr>
            <w:r>
              <w:rPr>
                <w:rFonts w:ascii="仿宋_GB2312" w:hAnsi="仿宋_GB2312" w:cs="仿宋_GB2312" w:eastAsia="仿宋_GB2312"/>
                <w:sz w:val="24"/>
              </w:rPr>
              <w:t>（4）小试样品的质量标准研究；</w:t>
            </w:r>
          </w:p>
          <w:p>
            <w:pPr>
              <w:pStyle w:val="null3"/>
              <w:ind w:firstLine="600"/>
              <w:jc w:val="both"/>
            </w:pPr>
            <w:r>
              <w:rPr>
                <w:rFonts w:ascii="仿宋_GB2312" w:hAnsi="仿宋_GB2312" w:cs="仿宋_GB2312" w:eastAsia="仿宋_GB2312"/>
                <w:sz w:val="24"/>
              </w:rPr>
              <w:t>（5）中试样品的质量标准研究；</w:t>
            </w:r>
          </w:p>
          <w:p>
            <w:pPr>
              <w:pStyle w:val="null3"/>
              <w:ind w:firstLine="600"/>
              <w:jc w:val="both"/>
            </w:pPr>
            <w:r>
              <w:rPr>
                <w:rFonts w:ascii="仿宋_GB2312" w:hAnsi="仿宋_GB2312" w:cs="仿宋_GB2312" w:eastAsia="仿宋_GB2312"/>
                <w:sz w:val="24"/>
              </w:rPr>
              <w:t>（6）制剂的常温稳定性研究；</w:t>
            </w:r>
          </w:p>
          <w:p>
            <w:pPr>
              <w:pStyle w:val="null3"/>
              <w:ind w:firstLine="600"/>
              <w:jc w:val="both"/>
            </w:pPr>
            <w:r>
              <w:rPr>
                <w:rFonts w:ascii="仿宋_GB2312" w:hAnsi="仿宋_GB2312" w:cs="仿宋_GB2312" w:eastAsia="仿宋_GB2312"/>
                <w:sz w:val="24"/>
              </w:rPr>
              <w:t>（7）制剂的加速稳定性研究；</w:t>
            </w:r>
          </w:p>
          <w:p>
            <w:pPr>
              <w:pStyle w:val="null3"/>
              <w:ind w:firstLine="600"/>
              <w:jc w:val="both"/>
            </w:pPr>
            <w:r>
              <w:rPr>
                <w:rFonts w:ascii="仿宋_GB2312" w:hAnsi="仿宋_GB2312" w:cs="仿宋_GB2312" w:eastAsia="仿宋_GB2312"/>
                <w:sz w:val="24"/>
              </w:rPr>
              <w:t>（8）制剂的药包材、原辅料的相关性研究；</w:t>
            </w:r>
          </w:p>
          <w:p>
            <w:pPr>
              <w:pStyle w:val="null3"/>
              <w:ind w:firstLine="600"/>
              <w:jc w:val="both"/>
            </w:pPr>
            <w:r>
              <w:rPr>
                <w:rFonts w:ascii="仿宋_GB2312" w:hAnsi="仿宋_GB2312" w:cs="仿宋_GB2312" w:eastAsia="仿宋_GB2312"/>
                <w:sz w:val="24"/>
              </w:rPr>
              <w:t>（9）申报并取得制剂药备案批号。</w:t>
            </w:r>
          </w:p>
          <w:p>
            <w:pPr>
              <w:pStyle w:val="null3"/>
              <w:ind w:firstLine="600"/>
              <w:jc w:val="both"/>
            </w:pPr>
            <w:r>
              <w:rPr>
                <w:rFonts w:ascii="仿宋_GB2312" w:hAnsi="仿宋_GB2312" w:cs="仿宋_GB2312" w:eastAsia="仿宋_GB2312"/>
                <w:sz w:val="24"/>
              </w:rPr>
              <w:t>2、根据功能主治开展药效学研究：采用细胞模型及心衰动物模型开展鹿衔双参通脉方治疗心衰的药效及机制研究并发表论文≥1篇。</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北京中医药大学孙思邈医院指定地点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1、向陕西省药品监督管理局提交的关于医疗机构制剂备案或注册的完整资料。 2、陕西省药品监督管理局颁发的医疗机构制剂备案号或注册批准文号。</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完成三个院内制剂的研发工作并交付相关技术资料后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1、按《中华人民共和国民法典》以及相关法律的条款执行。 2、乙方履约延误 2- 1、如乙方事先未征得甲方同意并得到甲方的谅解而单方面延迟执行合同，每延误一天的赔偿费按合同金额的百分之零点五 （0.5%）计收。误期赔偿费的最高限额 为合同价格的百分之五（5%）。一旦达到误期赔偿费的最高限额，甲方可终止合 同。 2-2、在履行合同过程中，如果乙方遇 到可能妨碍按时提供产品服务的情况，应及时以书面形式将拖延的事实，可能拖 延的期限和理由通知甲方。甲方在收到乙方通知后，应尽快对情况进行评价，并确定是否通过修改合同，酌情延长服务时间 或对乙方加收误期赔偿金。每延误一周的赔偿费 按合同金额的百分之零点五（0.5%）计收，直至提供服务为止。误期赔偿费 的最高限额为合同价格的百分之五（5%）。一 旦达到误期赔偿费的最高限额，甲方可终止合同。 3、违约终止合同：未按合同要求提供相应数量产品服务或不能满足技术要求以及不合格产品等违约行为，甲方会同监督机构有权终止合同，对乙方违 约行为进行追究，乙方须退回甲方前期支付的费用，同时支付合同金额5%的赔偿金，不足以弥补损失的，据实增加赔偿金额，并按政府采购法的有关规定进行相应的处罚。 4、本合同履行过程中，如因乙方违约，甲方提起诉讼的，乙方应当承担甲方为实现权利而产生的费用，包括但不限于诉讼 费、律师费、鉴定费、评估费等费用。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中标单位领取中标通知书时需提交一正一副纸质版投标文件。纸质版投标文件需与电子版投标文件一致，不得修改。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 等证明文件，自然人的身份证明。供应商需在项目电子化交易系统中按要求提供相关证明材料并进行电子签章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法人委托授权书必须由法定代表人及被授权人签字或盖章。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提供2024年10月至今任意一个月的纳税证明或税务机关开具的完税证明，依法免税的单位应提供相关证明材料；供应商需在项目电子化交易系统中按要求提供相关证明材料并进行电子签章。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供应商不得为“信用中国”网站（www.creditchina.gov.cn）被列入“失信被执行人”“重大税收违法案件当事人名单”的供应商，不得为“中国政府采购网”(www.ccgp.gov.cn)被列入“政府采购严重违法失信行为记录名单”的供应商。以代理机构开标当天在相关网站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参加政府采购活动前三年内，在经营活动中没有重大违法记录提供书面声明；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投标有效期需满足招标文件要求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 xml:space="preserve"> 合同履行期限满足招标文件要求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合同履约地点</w:t>
            </w:r>
          </w:p>
        </w:tc>
        <w:tc>
          <w:tcPr>
            <w:tcW w:type="dxa" w:w="3322"/>
          </w:tcPr>
          <w:p>
            <w:pPr>
              <w:pStyle w:val="null3"/>
            </w:pPr>
            <w:r>
              <w:rPr>
                <w:rFonts w:ascii="仿宋_GB2312" w:hAnsi="仿宋_GB2312" w:cs="仿宋_GB2312" w:eastAsia="仿宋_GB2312"/>
              </w:rPr>
              <w:t>北京中医药大学孙思邈医院指定地点</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响应报价</w:t>
            </w:r>
          </w:p>
        </w:tc>
        <w:tc>
          <w:tcPr>
            <w:tcW w:type="dxa" w:w="3322"/>
          </w:tcPr>
          <w:p>
            <w:pPr>
              <w:pStyle w:val="null3"/>
            </w:pPr>
            <w:r>
              <w:rPr>
                <w:rFonts w:ascii="仿宋_GB2312" w:hAnsi="仿宋_GB2312" w:cs="仿宋_GB2312" w:eastAsia="仿宋_GB2312"/>
              </w:rPr>
              <w:t>响应报价唯一，且不高于最高限价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供应商名称与公章及营业执照一致</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具有独立承担本项目的相关能力，根据对本项目的理解，确认研发需求和效果，结合采购项目实际情况，提供整体服务方案，制订有关制剂研发详细合理的进度计划、人员安排计划、资料整理、临床研究结果、验收等方面根据响应文件情况综合评审。 进度计划；制定计划安排合理，有具体详尽内容、科学合理、全面，可操作性强等（1）内容完整、内容详实、可行性、针对性强，计3分；（2） 以上内容存在1处瑕疵计2分； （3）以上内容存在2处瑕疵计1分；（4）未提供，或存在3处及以上瑕疵，或非专门针对本项目或不适用本项目特性、套用其他项目内容的，计0分。 人员安排计划；人员安排合理，有具体的岗位职责、管理制度，实施团队结构及人员（结合项目特点给定专业或人数的要求）设置合理等（1）内容完整、内容详实、可行性、针对性强，计3分；（2） 以上内容存在1处瑕疵计2分； （3）以上内容存在2处瑕疵计1分；（4）未提供，或存在3处及以上瑕疵，或非专门针对本项目或不适用本项目特性、套用其他项目内容的，计0分。 资料整理；有具体的岗位职责、资料管理制度、资料对接方案等（1）内容完整、内容详实、可行性、针对性强，计3分；（2） 以上内容存在1处瑕疵计2分； （3）以上内容存在2处瑕疵计1分；（4）未提供，或存在3处及以上瑕疵，或非专门针对本项目或不适用本项目特性、套用其他项目内容的，计0分。 临床研究结果;临床研究结果保障措施，有具体详尽内容、科学合理、全面，可操作性强等（1）内容完整、内容详实、可行性、针对性强，计3分；（2） 以上内容存在1处瑕疵计2分； （3）以上内容存在2处瑕疵计1分；（4）未提供，或存在3处及以上瑕疵，或非专门针对本项目或不适用本项目特性、套用其他项目内容的，计0分。 验收；有具体的验收流程、验收标准、保障措施等（1）内容完整、内容详实、可行性、针对性强，计3分；（2） 以上内容存在1处瑕疵计2分； （3）以上内容存在2处瑕疵计1分；（4）未提供，或存在3处及以上瑕疵，或非专门针对本项目或不适用本项目特性、套用其他项目内容的，计0分。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1.制定计划 ：制定计划安排合理，有具体详尽内容、计划科学合理、完善，可操作性强等（1）制内容完整、内容详实、可行性、针对性强，计5分；（2） 以上内容存在1处瑕疵计3分； （3）以上内容存在2处瑕疵计1分；（4）未提供，或存在3处及以上瑕疵，或非专门针对本项目或不适用本项目特性、套用其他项目内容的，计0分。 2.试剂研发；制定制定的试剂研发方案计划安排合理、切合项目实施具体要求；有具体详尽内容、计划科学合理、完善，可操作性强等（1）以上内容完整、内容详实、可行性、针对性强，计5分；（2） 以上内容存在1处瑕疵计3分； （3）以上内容存在2处瑕疵计1分；（4）未提供，或存在3处及以上瑕疵，或非专门针对本项目或不适用本项目特性、套用其他项目内容的，计0分。 3.配方方案；制定的配方方案有具体详尽内容、实施方案科学合理、完善，可操作性强等（（1）以上内容完整、内容详实、可行性、针对性强，计5分；（2） 以上内容存在1处瑕疵计3分； （3）以上内容存在2处瑕疵计1分；（4）未提供，或存在3处及以上瑕疵，或非专门针对本项目或不适用本项目特性、套用其他项目内容的，计0分。 4.申报获批方案；制定审批方案贴合项目实际情况、方案内容具体详尽内容、计划科学合理、完善，可操作性强等（1）以上内容完整、内容详实、可行性、针对性强，计5分；（2） 以上内容存在1处瑕疵计3分； （3）以上内容存在2处瑕疵计1分；（4）未提供，或存在3处及以上瑕疵，或非专门针对本项目或不适用本项目特性、套用其他项目内容的，计0分。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供应商须对项目实施过程中存在的难点、重点分析透彻、有预期效果及若未能达到预期效果的解决措施，并提供相应处理方案，方案合理、完善，可实施性强计4.1-6分；方案基本符合采购人需求计2.1-4分；方案简单，不利于项目实施计0.1-2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投入人员配备</w:t>
            </w:r>
          </w:p>
        </w:tc>
        <w:tc>
          <w:tcPr>
            <w:tcW w:type="dxa" w:w="2492"/>
          </w:tcPr>
          <w:p>
            <w:pPr>
              <w:pStyle w:val="null3"/>
            </w:pPr>
            <w:r>
              <w:rPr>
                <w:rFonts w:ascii="仿宋_GB2312" w:hAnsi="仿宋_GB2312" w:cs="仿宋_GB2312" w:eastAsia="仿宋_GB2312"/>
              </w:rPr>
              <w:t>针对供应商拟投入工作人员配置结构完整、数量、资质、专业技术能力、从业工作经验等赋分，进行综合赋分： 管理组织架构合理，人员配备完善，计7.1-10分；有管理组织架构、人员配备，能保证项目顺利实施，计4.1-7分；管理组织架构，人员配备欠缺的计1.1-4分；未提供不计分。 评审依据：需提供人员本年度任一个月缴纳社保的证明材料或与本单位签订的劳动合同为依据。未提供不得分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档案资料管理</w:t>
            </w:r>
          </w:p>
        </w:tc>
        <w:tc>
          <w:tcPr>
            <w:tcW w:type="dxa" w:w="2492"/>
          </w:tcPr>
          <w:p>
            <w:pPr>
              <w:pStyle w:val="null3"/>
            </w:pPr>
            <w:r>
              <w:rPr>
                <w:rFonts w:ascii="仿宋_GB2312" w:hAnsi="仿宋_GB2312" w:cs="仿宋_GB2312" w:eastAsia="仿宋_GB2312"/>
              </w:rPr>
              <w:t>在项目实施过程中研发试验资料、相关文献资料、说明书设计样稿及后期临床研究总结等的编纂、整理、溯源、存储，应专业、严密、合理、可行，全面确保数据及相关信息准确性、完整性，完全满足计4.1-5分；基本满足计2.1-4分；部分满足计1.1-2分；无方案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实验室场所</w:t>
            </w:r>
          </w:p>
        </w:tc>
        <w:tc>
          <w:tcPr>
            <w:tcW w:type="dxa" w:w="2492"/>
          </w:tcPr>
          <w:p>
            <w:pPr>
              <w:pStyle w:val="null3"/>
            </w:pPr>
            <w:r>
              <w:rPr>
                <w:rFonts w:ascii="仿宋_GB2312" w:hAnsi="仿宋_GB2312" w:cs="仿宋_GB2312" w:eastAsia="仿宋_GB2312"/>
              </w:rPr>
              <w:t>供应商提供具有研发医疗机构制剂的能力及相关研发实验室包括但不限于中药制剂实验室、药理实验室、理化实验室等，提供相关证明材料每缺少一项扣3分，扣完为止。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针对本项目提供其他合理化建议及意见，具有保障项目顺利实施详细的服务承诺，承诺内容具体可行，建议及意见科学合理，计4.1-5分，承诺内容比较可行，建议及意见科学较合理，计2.1-4分承诺内容一般，不利于项目实施，建议及意见考虑欠缺，计0-2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供应商提供2022年1月1日至今类似项目业绩（以合同签订日期为准），每提供一份得2分，最高得10分。 评审依据：响应文件中须提供业绩合同证明材料复印件或中标通知书加盖公章，含合同关键页（即合同首页、合同标的物、合同金额页及双方签字盖章页），以合同签订时间为准。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1、经初审合格的招标文件。 2、满足招标文件要求且最低的投标报价为评标基准价。 3、投标报价得分=(评审基准价／投标总报价)×20 投标报价不完整的，本项得0分。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详见附件：政府采购合同方剂.docx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