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版本号：Zjspd-2025-00820251011002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中西医协同旗舰科室中医药服务综合管理平台（基于八时段中医药服务）项目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Zjspd-2025-008</w:t>
      </w:r>
      <w:r>
        <w:br/>
      </w:r>
      <w:r>
        <w:br/>
      </w:r>
      <w:r>
        <w:br/>
      </w:r>
    </w:p>
    <w:p>
      <w:pPr>
        <w:pStyle w:val="null3"/>
        <w:jc w:val="center"/>
        <w:outlineLvl w:val="2"/>
      </w:pPr>
      <w:r>
        <w:rPr>
          <w:rFonts w:ascii="仿宋_GB2312" w:hAnsi="仿宋_GB2312" w:cs="仿宋_GB2312" w:eastAsia="仿宋_GB2312"/>
          <w:sz w:val="28"/>
          <w:b/>
        </w:rPr>
        <w:t>铜川市人民医院</w:t>
      </w:r>
    </w:p>
    <w:p>
      <w:pPr>
        <w:pStyle w:val="null3"/>
        <w:jc w:val="center"/>
        <w:outlineLvl w:val="2"/>
      </w:pPr>
      <w:r>
        <w:rPr>
          <w:rFonts w:ascii="仿宋_GB2312" w:hAnsi="仿宋_GB2312" w:cs="仿宋_GB2312" w:eastAsia="仿宋_GB2312"/>
          <w:sz w:val="28"/>
          <w:b/>
        </w:rPr>
        <w:t>中佳顺鹏达国际项目管理有限公司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中佳顺鹏达国际项目管理有限公司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铜川市人民医院</w:t>
      </w:r>
      <w:r>
        <w:rPr>
          <w:rFonts w:ascii="仿宋_GB2312" w:hAnsi="仿宋_GB2312" w:cs="仿宋_GB2312" w:eastAsia="仿宋_GB2312"/>
        </w:rPr>
        <w:t>委托，拟对</w:t>
      </w:r>
      <w:r>
        <w:rPr>
          <w:rFonts w:ascii="仿宋_GB2312" w:hAnsi="仿宋_GB2312" w:cs="仿宋_GB2312" w:eastAsia="仿宋_GB2312"/>
        </w:rPr>
        <w:t>中西医协同旗舰科室中医药服务综合管理平台（基于八时段中医药服务）项目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Zjspd-2025-008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中西医协同旗舰科室中医药服务综合管理平台（基于八时段中医药服务）项目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院为积极响应国家中医药信息化建设号召，提升医院中医协同旗舰科室诊疗效率与服务质量，本项目将茶药饮、膳食、中医治疗等中医药服务融入病区，构建中西医协同、身心共治的现代化人文医疗模式。项目通过超融合技术优化信息系统，实现资源整合与动态扩展，强化中西医药技系统互联互通与信息共享，提升临床决策效率，同时保障数据共享、业务协同及信息安全。最终，依托信息化中医药诊疗服务管理系统，整合中医养生保健与防治服务，为患者提供全方位个性化健康管理与诊疗服务，助力医院打造高效智能的中医协同诊疗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2、财务状况报告：财务状况报告：提供具有财务审计资质单位出具的2024年度财务报告或投标前六个月内其基本账户银行出具的资信证明或政府采购信用担保机构出具的投标担保函；</w:t>
      </w:r>
    </w:p>
    <w:p>
      <w:pPr>
        <w:pStyle w:val="null3"/>
      </w:pPr>
      <w:r>
        <w:rPr>
          <w:rFonts w:ascii="仿宋_GB2312" w:hAnsi="仿宋_GB2312" w:cs="仿宋_GB2312" w:eastAsia="仿宋_GB2312"/>
        </w:rPr>
        <w:t>3、税收缴纳证明：税收缴纳证明：提供截止至投标时间前六个月内任意一个月的缴费凭据；（依法免税的供应商应提供相关文件证明）；</w:t>
      </w:r>
    </w:p>
    <w:p>
      <w:pPr>
        <w:pStyle w:val="null3"/>
      </w:pPr>
      <w:r>
        <w:rPr>
          <w:rFonts w:ascii="仿宋_GB2312" w:hAnsi="仿宋_GB2312" w:cs="仿宋_GB2312" w:eastAsia="仿宋_GB2312"/>
        </w:rPr>
        <w:t>4、社会保障资金缴纳证明：社会保障资金缴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5、具有履行本合同所必需的设备和专业技术能力：具有履行本合同所必需的设备和专业技术能力：提供具有履行本合同所必需的设备和专业技术能力的说明及承诺；</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6、参加政府采购活动前三年内在经营活动中没有重大违法记录：参加政府采购活动前三年内在经营活动中没有重大违法记录：提供书面声明</w:t>
      </w:r>
    </w:p>
    <w:p>
      <w:pPr>
        <w:pStyle w:val="null3"/>
      </w:pPr>
      <w:r>
        <w:rPr>
          <w:rFonts w:ascii="仿宋_GB2312" w:hAnsi="仿宋_GB2312" w:cs="仿宋_GB2312" w:eastAsia="仿宋_GB2312"/>
        </w:rPr>
        <w:t>7、法定代表人授权书/ 法定代表人身份证明：法定代表人授权书/ 法定代表人身份证明：法定代表人参与投标时需提供法定代表人身份证明；被授权人参与投标时需提供法定代表人授权委托书；</w:t>
      </w:r>
    </w:p>
    <w:p>
      <w:pPr>
        <w:pStyle w:val="null3"/>
      </w:pPr>
      <w:r>
        <w:rPr>
          <w:rFonts w:ascii="仿宋_GB2312" w:hAnsi="仿宋_GB2312" w:cs="仿宋_GB2312" w:eastAsia="仿宋_GB2312"/>
        </w:rPr>
        <w:t>8、信用查询：信用查询：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9、本项目不允许联合体投标：本项目不允许联合体投标：提供承诺，格式自拟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铜川市新区鸿基路西段10号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0919-3582611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中佳顺鹏达国际项目管理有限公司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西安经济技术开发区文景路与凤城十二路交叉口东北角首创禧悦里25栋A座18层11802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15511088906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说明：乙方在本项目中标后，需向甲方缴纳项目合同金额10%的履约保证金。 项目完成验收且验收合格后，甲方需向乙方退还履约保证金的5%（即合同金额的5%）；剩余5%履约保证金（即合同金额的5%）转为项目质保金，待项目质保期（自验收合格之日起算，期限为一年）届满后，由甲方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的通知》（计价格[2002]1980号）和《国家发展改革委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铜川市人民医院</w:t>
      </w:r>
      <w:r>
        <w:rPr>
          <w:rFonts w:ascii="仿宋_GB2312" w:hAnsi="仿宋_GB2312" w:cs="仿宋_GB2312" w:eastAsia="仿宋_GB2312"/>
        </w:rPr>
        <w:t>和</w:t>
      </w:r>
      <w:r>
        <w:rPr>
          <w:rFonts w:ascii="仿宋_GB2312" w:hAnsi="仿宋_GB2312" w:cs="仿宋_GB2312" w:eastAsia="仿宋_GB2312"/>
        </w:rPr>
        <w:t>中佳顺鹏达国际项目管理有限公司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中佳顺鹏达国际项目管理有限公司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中佳顺鹏达国际项目管理有限公司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联系人：李亚男</w:t>
      </w:r>
    </w:p>
    <w:p>
      <w:pPr>
        <w:pStyle w:val="null3"/>
      </w:pPr>
      <w:r>
        <w:rPr>
          <w:rFonts w:ascii="仿宋_GB2312" w:hAnsi="仿宋_GB2312" w:cs="仿宋_GB2312" w:eastAsia="仿宋_GB2312"/>
        </w:rPr>
        <w:t>联系电话：15511088906</w:t>
      </w:r>
    </w:p>
    <w:p>
      <w:pPr>
        <w:pStyle w:val="null3"/>
      </w:pPr>
      <w:r>
        <w:rPr>
          <w:rFonts w:ascii="仿宋_GB2312" w:hAnsi="仿宋_GB2312" w:cs="仿宋_GB2312" w:eastAsia="仿宋_GB2312"/>
        </w:rPr>
        <w:t>地址：西安经济技术开发区文景路与凤城十二路交叉口东北角首创禧悦里25栋A座18层11802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院为积极响应国家中医药信息化建设号召，提升医院中医协同旗舰科室诊疗效率与服务质量，本项目将茶药饮、膳食、中医治疗等中医药服务融入病区，构建中西医协同、身心共治的现代化人文医疗模式。项目通过超融合技术优化信息系统，实现资源整合与动态扩展，强化中西医药技系统互联互通与信息共享，提升临床决策效率，同时保障数据共享、业务协同及信息安全。最终，依托信息化中医药诊疗服务管理系统，整合中医养生保健与防治服务，为患者提供全方位个性化健康管理与诊疗服务，助力医院打造高效智能的中医协同诊疗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软件开发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本次招标要求投标方提供的设备数据交互可纳入超融合一体机集群管理，其服务器硬件需具备高性能计算、大内存及全闪存存储配置，并配套功能完备的超融合软件授权。核心要求是该方案必须具备出色的兼容性与统一纳管能力，能够纳入现有集群整合为统一的虚拟化资源池，并提供集中管理、高可用、数据冗余及原厂维保等服务，以支撑平台各类业务系统稳定、高效运行。</w:t>
            </w:r>
          </w:p>
          <w:tbl>
            <w:tblPr>
              <w:tblBorders>
                <w:top w:val="none" w:color="000000" w:sz="4"/>
                <w:left w:val="none" w:color="000000" w:sz="4"/>
                <w:bottom w:val="none" w:color="000000" w:sz="4"/>
                <w:right w:val="none" w:color="000000" w:sz="4"/>
                <w:insideH w:val="none"/>
                <w:insideV w:val="none"/>
              </w:tblBorders>
            </w:tblPr>
            <w:tblGrid>
              <w:gridCol w:w="126"/>
              <w:gridCol w:w="158"/>
              <w:gridCol w:w="1903"/>
              <w:gridCol w:w="185"/>
              <w:gridCol w:w="180"/>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模块</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配套集成</w:t>
                  </w:r>
                  <w:r>
                    <w:rPr>
                      <w:rFonts w:ascii="仿宋_GB2312" w:hAnsi="仿宋_GB2312" w:cs="仿宋_GB2312" w:eastAsia="仿宋_GB2312"/>
                      <w:sz w:val="21"/>
                    </w:rPr>
                    <w:t>服务</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中心服务器</w:t>
                  </w:r>
                  <w:r>
                    <w:rPr>
                      <w:rFonts w:ascii="仿宋_GB2312" w:hAnsi="仿宋_GB2312" w:cs="仿宋_GB2312" w:eastAsia="仿宋_GB2312"/>
                      <w:sz w:val="21"/>
                    </w:rPr>
                    <w:t>品牌：国产自主知名品牌；</w:t>
                  </w:r>
                </w:p>
                <w:p>
                  <w:pPr>
                    <w:pStyle w:val="null3"/>
                    <w:jc w:val="both"/>
                  </w:pPr>
                  <w:r>
                    <w:rPr>
                      <w:rFonts w:ascii="仿宋_GB2312" w:hAnsi="仿宋_GB2312" w:cs="仿宋_GB2312" w:eastAsia="仿宋_GB2312"/>
                      <w:sz w:val="21"/>
                    </w:rPr>
                    <w:t>外形：</w:t>
                  </w:r>
                  <w:r>
                    <w:rPr>
                      <w:rFonts w:ascii="仿宋_GB2312" w:hAnsi="仿宋_GB2312" w:cs="仿宋_GB2312" w:eastAsia="仿宋_GB2312"/>
                      <w:sz w:val="21"/>
                    </w:rPr>
                    <w:t>2U机架式；</w:t>
                  </w:r>
                </w:p>
                <w:p>
                  <w:pPr>
                    <w:pStyle w:val="null3"/>
                    <w:jc w:val="both"/>
                  </w:pPr>
                  <w:r>
                    <w:rPr>
                      <w:rFonts w:ascii="仿宋_GB2312" w:hAnsi="仿宋_GB2312" w:cs="仿宋_GB2312" w:eastAsia="仿宋_GB2312"/>
                      <w:sz w:val="21"/>
                    </w:rPr>
                    <w:t>处理器：配置</w:t>
                  </w:r>
                  <w:r>
                    <w:rPr>
                      <w:rFonts w:ascii="仿宋_GB2312" w:hAnsi="仿宋_GB2312" w:cs="仿宋_GB2312" w:eastAsia="仿宋_GB2312"/>
                      <w:sz w:val="21"/>
                    </w:rPr>
                    <w:t>2颗4314（16C；2.4GHZ）处理器；</w:t>
                  </w:r>
                </w:p>
                <w:p>
                  <w:pPr>
                    <w:pStyle w:val="null3"/>
                    <w:jc w:val="both"/>
                  </w:pPr>
                  <w:r>
                    <w:rPr>
                      <w:rFonts w:ascii="仿宋_GB2312" w:hAnsi="仿宋_GB2312" w:cs="仿宋_GB2312" w:eastAsia="仿宋_GB2312"/>
                      <w:sz w:val="21"/>
                    </w:rPr>
                    <w:t>内存：配置</w:t>
                  </w:r>
                  <w:r>
                    <w:rPr>
                      <w:rFonts w:ascii="仿宋_GB2312" w:hAnsi="仿宋_GB2312" w:cs="仿宋_GB2312" w:eastAsia="仿宋_GB2312"/>
                      <w:sz w:val="21"/>
                    </w:rPr>
                    <w:t>4*32G DDR4 3200内存；内存插槽≥16个DDR4 3200 MT/s内存；支持RDIMM, LRDIMM内存；</w:t>
                  </w:r>
                </w:p>
                <w:p>
                  <w:pPr>
                    <w:pStyle w:val="null3"/>
                    <w:jc w:val="both"/>
                  </w:pPr>
                  <w:r>
                    <w:rPr>
                      <w:rFonts w:ascii="仿宋_GB2312" w:hAnsi="仿宋_GB2312" w:cs="仿宋_GB2312" w:eastAsia="仿宋_GB2312"/>
                      <w:sz w:val="21"/>
                    </w:rPr>
                    <w:t>硬盘：配置</w:t>
                  </w:r>
                  <w:r>
                    <w:rPr>
                      <w:rFonts w:ascii="仿宋_GB2312" w:hAnsi="仿宋_GB2312" w:cs="仿宋_GB2312" w:eastAsia="仿宋_GB2312"/>
                      <w:sz w:val="21"/>
                    </w:rPr>
                    <w:t>5块2.4T SAS 10K 热插拔硬盘，最大可扩展支持≥12个3.5寸/2.5 SATA/SAS 硬盘；最大可扩展支持≥12个 U.2 NVMe SSD；</w:t>
                  </w:r>
                </w:p>
                <w:p>
                  <w:pPr>
                    <w:pStyle w:val="null3"/>
                    <w:jc w:val="both"/>
                  </w:pPr>
                  <w:r>
                    <w:rPr>
                      <w:rFonts w:ascii="仿宋_GB2312" w:hAnsi="仿宋_GB2312" w:cs="仿宋_GB2312" w:eastAsia="仿宋_GB2312"/>
                      <w:sz w:val="21"/>
                    </w:rPr>
                    <w:t>RAID:配置1张RAID卡PM8222；支持RAID0/1/5/10等；</w:t>
                  </w:r>
                </w:p>
                <w:p>
                  <w:pPr>
                    <w:pStyle w:val="null3"/>
                    <w:jc w:val="both"/>
                  </w:pPr>
                  <w:r>
                    <w:rPr>
                      <w:rFonts w:ascii="仿宋_GB2312" w:hAnsi="仿宋_GB2312" w:cs="仿宋_GB2312" w:eastAsia="仿宋_GB2312"/>
                      <w:sz w:val="21"/>
                    </w:rPr>
                    <w:t>网络：</w:t>
                  </w:r>
                  <w:r>
                    <w:rPr>
                      <w:rFonts w:ascii="仿宋_GB2312" w:hAnsi="仿宋_GB2312" w:cs="仿宋_GB2312" w:eastAsia="仿宋_GB2312"/>
                      <w:sz w:val="21"/>
                    </w:rPr>
                    <w:t>2个千兆电口，一个独立管理端口。</w:t>
                  </w:r>
                </w:p>
                <w:p>
                  <w:pPr>
                    <w:pStyle w:val="null3"/>
                    <w:jc w:val="both"/>
                  </w:pPr>
                  <w:r>
                    <w:rPr>
                      <w:rFonts w:ascii="仿宋_GB2312" w:hAnsi="仿宋_GB2312" w:cs="仿宋_GB2312" w:eastAsia="仿宋_GB2312"/>
                      <w:sz w:val="21"/>
                    </w:rPr>
                    <w:t>I/O插槽：最大支持5个标准PCIe 4.0，支持1个Raid Mezz卡，支持1个200Gb/s OCP3.0网卡，支持4个单宽GPU；</w:t>
                  </w:r>
                </w:p>
                <w:p>
                  <w:pPr>
                    <w:pStyle w:val="null3"/>
                    <w:jc w:val="both"/>
                  </w:pPr>
                  <w:r>
                    <w:rPr>
                      <w:rFonts w:ascii="仿宋_GB2312" w:hAnsi="仿宋_GB2312" w:cs="仿宋_GB2312" w:eastAsia="仿宋_GB2312"/>
                      <w:sz w:val="21"/>
                    </w:rPr>
                    <w:t>管理：</w:t>
                  </w:r>
                  <w:r>
                    <w:rPr>
                      <w:rFonts w:ascii="仿宋_GB2312" w:hAnsi="仿宋_GB2312" w:cs="仿宋_GB2312" w:eastAsia="仿宋_GB2312"/>
                      <w:sz w:val="21"/>
                    </w:rPr>
                    <w:t>BMC管理模块，支持IPMI、KVM Over IP、虚拟媒体等；</w:t>
                  </w:r>
                </w:p>
                <w:p>
                  <w:pPr>
                    <w:pStyle w:val="null3"/>
                    <w:jc w:val="both"/>
                  </w:pPr>
                  <w:r>
                    <w:rPr>
                      <w:rFonts w:ascii="仿宋_GB2312" w:hAnsi="仿宋_GB2312" w:cs="仿宋_GB2312" w:eastAsia="仿宋_GB2312"/>
                      <w:sz w:val="21"/>
                    </w:rPr>
                    <w:t>电源：配置</w:t>
                  </w:r>
                  <w:r>
                    <w:rPr>
                      <w:rFonts w:ascii="仿宋_GB2312" w:hAnsi="仿宋_GB2312" w:cs="仿宋_GB2312" w:eastAsia="仿宋_GB2312"/>
                      <w:sz w:val="21"/>
                    </w:rPr>
                    <w:t>1+1冗余电源550W，最大支持4颗CRPS标准热插拔电源；可选800W/1300W/1600W白金电源；支持N+N/N+1电源冗余方式；</w:t>
                  </w:r>
                </w:p>
                <w:p>
                  <w:pPr>
                    <w:pStyle w:val="null3"/>
                    <w:jc w:val="both"/>
                  </w:pPr>
                  <w:r>
                    <w:rPr>
                      <w:rFonts w:ascii="仿宋_GB2312" w:hAnsi="仿宋_GB2312" w:cs="仿宋_GB2312" w:eastAsia="仿宋_GB2312"/>
                      <w:sz w:val="21"/>
                    </w:rPr>
                    <w:t>质量认证：通过质量管理体系</w:t>
                  </w:r>
                  <w:r>
                    <w:rPr>
                      <w:rFonts w:ascii="仿宋_GB2312" w:hAnsi="仿宋_GB2312" w:cs="仿宋_GB2312" w:eastAsia="仿宋_GB2312"/>
                      <w:sz w:val="21"/>
                    </w:rPr>
                    <w:t>ISO9001认证、环境管理体系ISO14001认证、职业健康安全管理体系28001认证、IT服务管理体系ISO20000认证、信息安全管理体系ISO27001认证、CE认证、FCC认证，并提供证书复印件；</w:t>
                  </w:r>
                </w:p>
                <w:p>
                  <w:pPr>
                    <w:pStyle w:val="null3"/>
                    <w:jc w:val="both"/>
                  </w:pPr>
                  <w:r>
                    <w:rPr>
                      <w:rFonts w:ascii="仿宋_GB2312" w:hAnsi="仿宋_GB2312" w:cs="仿宋_GB2312" w:eastAsia="仿宋_GB2312"/>
                      <w:sz w:val="21"/>
                    </w:rPr>
                    <w:t>服务：</w:t>
                  </w:r>
                  <w:r>
                    <w:rPr>
                      <w:rFonts w:ascii="仿宋_GB2312" w:hAnsi="仿宋_GB2312" w:cs="仿宋_GB2312" w:eastAsia="仿宋_GB2312"/>
                      <w:sz w:val="21"/>
                    </w:rPr>
                    <w:t>3年免费整机硬件保修</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接口服务器</w:t>
                  </w:r>
                  <w:r>
                    <w:rPr>
                      <w:rFonts w:ascii="仿宋_GB2312" w:hAnsi="仿宋_GB2312" w:cs="仿宋_GB2312" w:eastAsia="仿宋_GB2312"/>
                      <w:sz w:val="21"/>
                    </w:rPr>
                    <w:t>品牌：国产自主知名品牌；</w:t>
                  </w:r>
                </w:p>
                <w:p>
                  <w:pPr>
                    <w:pStyle w:val="null3"/>
                    <w:jc w:val="both"/>
                  </w:pPr>
                  <w:r>
                    <w:rPr>
                      <w:rFonts w:ascii="仿宋_GB2312" w:hAnsi="仿宋_GB2312" w:cs="仿宋_GB2312" w:eastAsia="仿宋_GB2312"/>
                      <w:sz w:val="21"/>
                    </w:rPr>
                    <w:t>外形：</w:t>
                  </w:r>
                  <w:r>
                    <w:rPr>
                      <w:rFonts w:ascii="仿宋_GB2312" w:hAnsi="仿宋_GB2312" w:cs="仿宋_GB2312" w:eastAsia="仿宋_GB2312"/>
                      <w:sz w:val="21"/>
                    </w:rPr>
                    <w:t>2U机架式；</w:t>
                  </w:r>
                </w:p>
                <w:p>
                  <w:pPr>
                    <w:pStyle w:val="null3"/>
                    <w:jc w:val="both"/>
                  </w:pPr>
                  <w:r>
                    <w:rPr>
                      <w:rFonts w:ascii="仿宋_GB2312" w:hAnsi="仿宋_GB2312" w:cs="仿宋_GB2312" w:eastAsia="仿宋_GB2312"/>
                      <w:sz w:val="21"/>
                    </w:rPr>
                    <w:t>处理器：配置</w:t>
                  </w:r>
                  <w:r>
                    <w:rPr>
                      <w:rFonts w:ascii="仿宋_GB2312" w:hAnsi="仿宋_GB2312" w:cs="仿宋_GB2312" w:eastAsia="仿宋_GB2312"/>
                      <w:sz w:val="21"/>
                    </w:rPr>
                    <w:t>1颗4310（12C；2.1GHZ）处理器；</w:t>
                  </w:r>
                </w:p>
                <w:p>
                  <w:pPr>
                    <w:pStyle w:val="null3"/>
                    <w:jc w:val="both"/>
                  </w:pPr>
                  <w:r>
                    <w:rPr>
                      <w:rFonts w:ascii="仿宋_GB2312" w:hAnsi="仿宋_GB2312" w:cs="仿宋_GB2312" w:eastAsia="仿宋_GB2312"/>
                      <w:sz w:val="21"/>
                    </w:rPr>
                    <w:t>内存：配置</w:t>
                  </w:r>
                  <w:r>
                    <w:rPr>
                      <w:rFonts w:ascii="仿宋_GB2312" w:hAnsi="仿宋_GB2312" w:cs="仿宋_GB2312" w:eastAsia="仿宋_GB2312"/>
                      <w:sz w:val="21"/>
                    </w:rPr>
                    <w:t>32G DDR4 3200内存；内存插槽≥16个DDR4 3200 MT/s内存；支持RDIMM, LRDIMM内存；</w:t>
                  </w:r>
                </w:p>
                <w:p>
                  <w:pPr>
                    <w:pStyle w:val="null3"/>
                    <w:jc w:val="both"/>
                  </w:pPr>
                  <w:r>
                    <w:rPr>
                      <w:rFonts w:ascii="仿宋_GB2312" w:hAnsi="仿宋_GB2312" w:cs="仿宋_GB2312" w:eastAsia="仿宋_GB2312"/>
                      <w:sz w:val="21"/>
                    </w:rPr>
                    <w:t>硬盘：配置</w:t>
                  </w:r>
                  <w:r>
                    <w:rPr>
                      <w:rFonts w:ascii="仿宋_GB2312" w:hAnsi="仿宋_GB2312" w:cs="仿宋_GB2312" w:eastAsia="仿宋_GB2312"/>
                      <w:sz w:val="21"/>
                    </w:rPr>
                    <w:t>5块600G SAS 10K 热插拔硬盘，最大可扩展支持≥12个3.5寸/2.5 SATA/SAS 硬盘；最大可扩展支持≥12个 U.2 NVMe SSD；</w:t>
                  </w:r>
                </w:p>
                <w:p>
                  <w:pPr>
                    <w:pStyle w:val="null3"/>
                    <w:jc w:val="both"/>
                  </w:pPr>
                  <w:r>
                    <w:rPr>
                      <w:rFonts w:ascii="仿宋_GB2312" w:hAnsi="仿宋_GB2312" w:cs="仿宋_GB2312" w:eastAsia="仿宋_GB2312"/>
                      <w:sz w:val="21"/>
                    </w:rPr>
                    <w:t>RAID:配置1张RAID卡PM8222；支持RAID0/1/5/10等；</w:t>
                  </w:r>
                </w:p>
                <w:p>
                  <w:pPr>
                    <w:pStyle w:val="null3"/>
                    <w:jc w:val="both"/>
                  </w:pPr>
                  <w:r>
                    <w:rPr>
                      <w:rFonts w:ascii="仿宋_GB2312" w:hAnsi="仿宋_GB2312" w:cs="仿宋_GB2312" w:eastAsia="仿宋_GB2312"/>
                      <w:sz w:val="21"/>
                    </w:rPr>
                    <w:t>网络：</w:t>
                  </w:r>
                  <w:r>
                    <w:rPr>
                      <w:rFonts w:ascii="仿宋_GB2312" w:hAnsi="仿宋_GB2312" w:cs="仿宋_GB2312" w:eastAsia="仿宋_GB2312"/>
                      <w:sz w:val="21"/>
                    </w:rPr>
                    <w:t>2个千兆电口，一个独立管理端口。</w:t>
                  </w:r>
                </w:p>
                <w:p>
                  <w:pPr>
                    <w:pStyle w:val="null3"/>
                    <w:jc w:val="both"/>
                  </w:pPr>
                  <w:r>
                    <w:rPr>
                      <w:rFonts w:ascii="仿宋_GB2312" w:hAnsi="仿宋_GB2312" w:cs="仿宋_GB2312" w:eastAsia="仿宋_GB2312"/>
                      <w:sz w:val="21"/>
                    </w:rPr>
                    <w:t>I/O插槽：最大支持5个标准PCIe 4.0，支持1个Raid Mezz卡，支持1个200Gb/s OCP3.0网卡，支持4个单宽GPU；</w:t>
                  </w:r>
                </w:p>
                <w:p>
                  <w:pPr>
                    <w:pStyle w:val="null3"/>
                    <w:jc w:val="both"/>
                  </w:pPr>
                  <w:r>
                    <w:rPr>
                      <w:rFonts w:ascii="仿宋_GB2312" w:hAnsi="仿宋_GB2312" w:cs="仿宋_GB2312" w:eastAsia="仿宋_GB2312"/>
                      <w:sz w:val="21"/>
                    </w:rPr>
                    <w:t>管理：</w:t>
                  </w:r>
                  <w:r>
                    <w:rPr>
                      <w:rFonts w:ascii="仿宋_GB2312" w:hAnsi="仿宋_GB2312" w:cs="仿宋_GB2312" w:eastAsia="仿宋_GB2312"/>
                      <w:sz w:val="21"/>
                    </w:rPr>
                    <w:t>BMC管理模块，支持IPMI、KVM Over IP、虚拟媒体等；</w:t>
                  </w:r>
                </w:p>
                <w:p>
                  <w:pPr>
                    <w:pStyle w:val="null3"/>
                    <w:jc w:val="both"/>
                  </w:pPr>
                  <w:r>
                    <w:rPr>
                      <w:rFonts w:ascii="仿宋_GB2312" w:hAnsi="仿宋_GB2312" w:cs="仿宋_GB2312" w:eastAsia="仿宋_GB2312"/>
                      <w:sz w:val="21"/>
                    </w:rPr>
                    <w:t>电源：配置</w:t>
                  </w:r>
                  <w:r>
                    <w:rPr>
                      <w:rFonts w:ascii="仿宋_GB2312" w:hAnsi="仿宋_GB2312" w:cs="仿宋_GB2312" w:eastAsia="仿宋_GB2312"/>
                      <w:sz w:val="21"/>
                    </w:rPr>
                    <w:t>1+1冗余电源550W，最大支持4颗CRPS标准热插拔电源；可选800W/1300W/1600W白金电源；支持N+N/N+1电源冗余方式；</w:t>
                  </w:r>
                </w:p>
                <w:p>
                  <w:pPr>
                    <w:pStyle w:val="null3"/>
                    <w:jc w:val="both"/>
                  </w:pPr>
                  <w:r>
                    <w:rPr>
                      <w:rFonts w:ascii="仿宋_GB2312" w:hAnsi="仿宋_GB2312" w:cs="仿宋_GB2312" w:eastAsia="仿宋_GB2312"/>
                      <w:sz w:val="21"/>
                    </w:rPr>
                    <w:t>质量认证：通过质量管理体系</w:t>
                  </w:r>
                  <w:r>
                    <w:rPr>
                      <w:rFonts w:ascii="仿宋_GB2312" w:hAnsi="仿宋_GB2312" w:cs="仿宋_GB2312" w:eastAsia="仿宋_GB2312"/>
                      <w:sz w:val="21"/>
                    </w:rPr>
                    <w:t>ISO9001认证、环境管理体系ISO14001认证、职业健康安全管理体系28001认证、IT服务管理体系ISO20000认证、信息安全管理体系ISO27001认证、CE认证、FCC认证，并提供证书复印件；</w:t>
                  </w:r>
                </w:p>
                <w:p>
                  <w:pPr>
                    <w:pStyle w:val="null3"/>
                    <w:jc w:val="both"/>
                  </w:pPr>
                  <w:r>
                    <w:rPr>
                      <w:rFonts w:ascii="仿宋_GB2312" w:hAnsi="仿宋_GB2312" w:cs="仿宋_GB2312" w:eastAsia="仿宋_GB2312"/>
                      <w:sz w:val="21"/>
                    </w:rPr>
                    <w:t>服务：</w:t>
                  </w:r>
                  <w:r>
                    <w:rPr>
                      <w:rFonts w:ascii="仿宋_GB2312" w:hAnsi="仿宋_GB2312" w:cs="仿宋_GB2312" w:eastAsia="仿宋_GB2312"/>
                      <w:sz w:val="21"/>
                    </w:rPr>
                    <w:t>3年免费整机硬件保修</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移动查房配套</w:t>
                  </w:r>
                  <w:r>
                    <w:rPr>
                      <w:rFonts w:ascii="仿宋_GB2312" w:hAnsi="仿宋_GB2312" w:cs="仿宋_GB2312" w:eastAsia="仿宋_GB2312"/>
                      <w:sz w:val="21"/>
                    </w:rPr>
                    <w:t>服务</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扬声器配置：</w:t>
                  </w:r>
                  <w:r>
                    <w:rPr>
                      <w:rFonts w:ascii="仿宋_GB2312" w:hAnsi="仿宋_GB2312" w:cs="仿宋_GB2312" w:eastAsia="仿宋_GB2312"/>
                      <w:sz w:val="21"/>
                    </w:rPr>
                    <w:t>4扬声器</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3200*2136</w:t>
                  </w:r>
                </w:p>
                <w:p>
                  <w:pPr>
                    <w:pStyle w:val="null3"/>
                    <w:jc w:val="both"/>
                  </w:pPr>
                  <w:r>
                    <w:rPr>
                      <w:rFonts w:ascii="仿宋_GB2312" w:hAnsi="仿宋_GB2312" w:cs="仿宋_GB2312" w:eastAsia="仿宋_GB2312"/>
                      <w:sz w:val="21"/>
                    </w:rPr>
                    <w:t>存储容量：</w:t>
                  </w:r>
                  <w:r>
                    <w:rPr>
                      <w:rFonts w:ascii="仿宋_GB2312" w:hAnsi="仿宋_GB2312" w:cs="仿宋_GB2312" w:eastAsia="仿宋_GB2312"/>
                      <w:sz w:val="21"/>
                    </w:rPr>
                    <w:t>128GB</w:t>
                  </w:r>
                </w:p>
                <w:p>
                  <w:pPr>
                    <w:pStyle w:val="null3"/>
                    <w:jc w:val="both"/>
                  </w:pPr>
                  <w:r>
                    <w:rPr>
                      <w:rFonts w:ascii="仿宋_GB2312" w:hAnsi="仿宋_GB2312" w:cs="仿宋_GB2312" w:eastAsia="仿宋_GB2312"/>
                      <w:sz w:val="21"/>
                    </w:rPr>
                    <w:t>屏幕特性：高刷新率</w:t>
                  </w:r>
                  <w:r>
                    <w:rPr>
                      <w:rFonts w:ascii="仿宋_GB2312" w:hAnsi="仿宋_GB2312" w:cs="仿宋_GB2312" w:eastAsia="仿宋_GB2312"/>
                      <w:sz w:val="21"/>
                    </w:rPr>
                    <w:t>(≥120Hz)</w:t>
                  </w:r>
                </w:p>
                <w:p>
                  <w:pPr>
                    <w:pStyle w:val="null3"/>
                    <w:jc w:val="both"/>
                  </w:pPr>
                  <w:r>
                    <w:rPr>
                      <w:rFonts w:ascii="仿宋_GB2312" w:hAnsi="仿宋_GB2312" w:cs="仿宋_GB2312" w:eastAsia="仿宋_GB2312"/>
                      <w:sz w:val="21"/>
                    </w:rPr>
                    <w:t>网络类型：</w:t>
                  </w:r>
                  <w:r>
                    <w:rPr>
                      <w:rFonts w:ascii="仿宋_GB2312" w:hAnsi="仿宋_GB2312" w:cs="仿宋_GB2312" w:eastAsia="仿宋_GB2312"/>
                      <w:sz w:val="21"/>
                    </w:rPr>
                    <w:t>WiFi版，支持WiFi 2.4GHz，802.11b/g/n/ax；WiFi 5GHz，802.11a/n/ac/ax</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7.0mm以下</w:t>
                  </w:r>
                </w:p>
                <w:p>
                  <w:pPr>
                    <w:pStyle w:val="null3"/>
                    <w:jc w:val="both"/>
                  </w:pPr>
                  <w:r>
                    <w:rPr>
                      <w:rFonts w:ascii="仿宋_GB2312" w:hAnsi="仿宋_GB2312" w:cs="仿宋_GB2312" w:eastAsia="仿宋_GB2312"/>
                      <w:sz w:val="21"/>
                    </w:rPr>
                    <w:t>屏幕分辨率：</w:t>
                  </w:r>
                  <w:r>
                    <w:rPr>
                      <w:rFonts w:ascii="仿宋_GB2312" w:hAnsi="仿宋_GB2312" w:cs="仿宋_GB2312" w:eastAsia="仿宋_GB2312"/>
                      <w:sz w:val="21"/>
                    </w:rPr>
                    <w:t>2.8-3.2K</w:t>
                  </w:r>
                </w:p>
                <w:p>
                  <w:pPr>
                    <w:pStyle w:val="null3"/>
                    <w:jc w:val="both"/>
                  </w:pPr>
                  <w:r>
                    <w:rPr>
                      <w:rFonts w:ascii="仿宋_GB2312" w:hAnsi="仿宋_GB2312" w:cs="仿宋_GB2312" w:eastAsia="仿宋_GB2312"/>
                      <w:sz w:val="21"/>
                    </w:rPr>
                    <w:t>运行内存：</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处理器：第三代骁龙</w:t>
                  </w:r>
                  <w:r>
                    <w:rPr>
                      <w:rFonts w:ascii="仿宋_GB2312" w:hAnsi="仿宋_GB2312" w:cs="仿宋_GB2312" w:eastAsia="仿宋_GB2312"/>
                      <w:sz w:val="21"/>
                    </w:rPr>
                    <w:t>7+</w:t>
                  </w:r>
                </w:p>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11.2英寸</w:t>
                  </w:r>
                </w:p>
                <w:p>
                  <w:pPr>
                    <w:pStyle w:val="null3"/>
                    <w:jc w:val="both"/>
                  </w:pPr>
                  <w:r>
                    <w:rPr>
                      <w:rFonts w:ascii="仿宋_GB2312" w:hAnsi="仿宋_GB2312" w:cs="仿宋_GB2312" w:eastAsia="仿宋_GB2312"/>
                      <w:sz w:val="21"/>
                    </w:rPr>
                    <w:t>屏幕比例：</w:t>
                  </w:r>
                  <w:r>
                    <w:rPr>
                      <w:rFonts w:ascii="仿宋_GB2312" w:hAnsi="仿宋_GB2312" w:cs="仿宋_GB2312" w:eastAsia="仿宋_GB2312"/>
                      <w:sz w:val="21"/>
                    </w:rPr>
                    <w:t>3:2</w:t>
                  </w:r>
                </w:p>
                <w:p>
                  <w:pPr>
                    <w:pStyle w:val="null3"/>
                    <w:jc w:val="both"/>
                  </w:pPr>
                  <w:r>
                    <w:rPr>
                      <w:rFonts w:ascii="仿宋_GB2312" w:hAnsi="仿宋_GB2312" w:cs="仿宋_GB2312" w:eastAsia="仿宋_GB2312"/>
                      <w:sz w:val="21"/>
                    </w:rPr>
                    <w:t>处理器速度：</w:t>
                  </w:r>
                  <w:r>
                    <w:rPr>
                      <w:rFonts w:ascii="仿宋_GB2312" w:hAnsi="仿宋_GB2312" w:cs="仿宋_GB2312" w:eastAsia="仿宋_GB2312"/>
                      <w:sz w:val="21"/>
                    </w:rPr>
                    <w:t>2.8GHz</w:t>
                  </w:r>
                </w:p>
                <w:p>
                  <w:pPr>
                    <w:pStyle w:val="null3"/>
                    <w:jc w:val="both"/>
                  </w:pPr>
                  <w:r>
                    <w:rPr>
                      <w:rFonts w:ascii="仿宋_GB2312" w:hAnsi="仿宋_GB2312" w:cs="仿宋_GB2312" w:eastAsia="仿宋_GB2312"/>
                      <w:sz w:val="21"/>
                    </w:rPr>
                    <w:t>产品净重：</w:t>
                  </w:r>
                  <w:r>
                    <w:rPr>
                      <w:rFonts w:ascii="仿宋_GB2312" w:hAnsi="仿宋_GB2312" w:cs="仿宋_GB2312" w:eastAsia="仿宋_GB2312"/>
                      <w:sz w:val="21"/>
                    </w:rPr>
                    <w:t>500g</w:t>
                  </w:r>
                </w:p>
                <w:p>
                  <w:pPr>
                    <w:pStyle w:val="null3"/>
                    <w:jc w:val="both"/>
                  </w:pPr>
                  <w:r>
                    <w:rPr>
                      <w:rFonts w:ascii="仿宋_GB2312" w:hAnsi="仿宋_GB2312" w:cs="仿宋_GB2312" w:eastAsia="仿宋_GB2312"/>
                      <w:sz w:val="21"/>
                    </w:rPr>
                    <w:t>产品尺寸：长</w:t>
                  </w:r>
                  <w:r>
                    <w:rPr>
                      <w:rFonts w:ascii="仿宋_GB2312" w:hAnsi="仿宋_GB2312" w:cs="仿宋_GB2312" w:eastAsia="仿宋_GB2312"/>
                      <w:sz w:val="21"/>
                    </w:rPr>
                    <w:t>251.22mm；宽173.42mm；高6.18mm</w:t>
                  </w:r>
                </w:p>
                <w:p>
                  <w:pPr>
                    <w:pStyle w:val="null3"/>
                    <w:jc w:val="both"/>
                  </w:pPr>
                  <w:r>
                    <w:rPr>
                      <w:rFonts w:ascii="仿宋_GB2312" w:hAnsi="仿宋_GB2312" w:cs="仿宋_GB2312" w:eastAsia="仿宋_GB2312"/>
                      <w:sz w:val="21"/>
                    </w:rPr>
                    <w:t>屏幕类型：</w:t>
                  </w:r>
                  <w:r>
                    <w:rPr>
                      <w:rFonts w:ascii="仿宋_GB2312" w:hAnsi="仿宋_GB2312" w:cs="仿宋_GB2312" w:eastAsia="仿宋_GB2312"/>
                      <w:sz w:val="21"/>
                    </w:rPr>
                    <w:t>LCD</w:t>
                  </w:r>
                </w:p>
                <w:p>
                  <w:pPr>
                    <w:pStyle w:val="null3"/>
                    <w:jc w:val="both"/>
                  </w:pPr>
                  <w:r>
                    <w:rPr>
                      <w:rFonts w:ascii="仿宋_GB2312" w:hAnsi="仿宋_GB2312" w:cs="仿宋_GB2312" w:eastAsia="仿宋_GB2312"/>
                      <w:sz w:val="21"/>
                    </w:rPr>
                    <w:t>电池容量：</w:t>
                  </w:r>
                  <w:r>
                    <w:rPr>
                      <w:rFonts w:ascii="仿宋_GB2312" w:hAnsi="仿宋_GB2312" w:cs="仿宋_GB2312" w:eastAsia="仿宋_GB2312"/>
                      <w:sz w:val="21"/>
                    </w:rPr>
                    <w:t>8850mAh</w:t>
                  </w:r>
                </w:p>
                <w:p>
                  <w:pPr>
                    <w:pStyle w:val="null3"/>
                    <w:jc w:val="both"/>
                  </w:pPr>
                  <w:r>
                    <w:rPr>
                      <w:rFonts w:ascii="仿宋_GB2312" w:hAnsi="仿宋_GB2312" w:cs="仿宋_GB2312" w:eastAsia="仿宋_GB2312"/>
                      <w:sz w:val="21"/>
                    </w:rPr>
                    <w:t>后置摄像头像素：</w:t>
                  </w:r>
                  <w:r>
                    <w:rPr>
                      <w:rFonts w:ascii="仿宋_GB2312" w:hAnsi="仿宋_GB2312" w:cs="仿宋_GB2312" w:eastAsia="仿宋_GB2312"/>
                      <w:sz w:val="21"/>
                    </w:rPr>
                    <w:t>1300W</w:t>
                  </w:r>
                </w:p>
                <w:p>
                  <w:pPr>
                    <w:pStyle w:val="null3"/>
                    <w:jc w:val="both"/>
                  </w:pPr>
                  <w:r>
                    <w:rPr>
                      <w:rFonts w:ascii="仿宋_GB2312" w:hAnsi="仿宋_GB2312" w:cs="仿宋_GB2312" w:eastAsia="仿宋_GB2312"/>
                      <w:sz w:val="21"/>
                    </w:rPr>
                    <w:t>前置摄像头像素：</w:t>
                  </w:r>
                  <w:r>
                    <w:rPr>
                      <w:rFonts w:ascii="仿宋_GB2312" w:hAnsi="仿宋_GB2312" w:cs="仿宋_GB2312" w:eastAsia="仿宋_GB2312"/>
                      <w:sz w:val="21"/>
                    </w:rPr>
                    <w:t>800w</w:t>
                  </w:r>
                </w:p>
                <w:p>
                  <w:pPr>
                    <w:pStyle w:val="null3"/>
                    <w:jc w:val="both"/>
                  </w:pPr>
                  <w:r>
                    <w:rPr>
                      <w:rFonts w:ascii="仿宋_GB2312" w:hAnsi="仿宋_GB2312" w:cs="仿宋_GB2312" w:eastAsia="仿宋_GB2312"/>
                      <w:sz w:val="21"/>
                    </w:rPr>
                    <w:t>3年免费整机硬件保修</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中医四诊仪服务</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硬件</w:t>
                  </w:r>
                </w:p>
                <w:p>
                  <w:pPr>
                    <w:pStyle w:val="null3"/>
                    <w:jc w:val="both"/>
                  </w:pPr>
                  <w:r>
                    <w:rPr>
                      <w:rFonts w:ascii="仿宋_GB2312" w:hAnsi="仿宋_GB2312" w:cs="仿宋_GB2312" w:eastAsia="仿宋_GB2312"/>
                      <w:sz w:val="21"/>
                    </w:rPr>
                    <w:t>需实现</w:t>
                  </w:r>
                  <w:r>
                    <w:rPr>
                      <w:rFonts w:ascii="仿宋_GB2312" w:hAnsi="仿宋_GB2312" w:cs="仿宋_GB2312" w:eastAsia="仿宋_GB2312"/>
                      <w:sz w:val="21"/>
                    </w:rPr>
                    <w:t>800万像素摄像头；紫外线消毒功能；采集箱通风功能；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舌面象采集分析</w:t>
                  </w:r>
                </w:p>
                <w:p>
                  <w:pPr>
                    <w:pStyle w:val="null3"/>
                    <w:jc w:val="both"/>
                  </w:pPr>
                  <w:r>
                    <w:rPr>
                      <w:rFonts w:ascii="仿宋_GB2312" w:hAnsi="仿宋_GB2312" w:cs="仿宋_GB2312" w:eastAsia="仿宋_GB2312"/>
                      <w:sz w:val="21"/>
                    </w:rPr>
                    <w:t>使用球形柔光罩，模拟自然光，支持专业级单反相机进行成像。支持向量机（</w:t>
                  </w:r>
                  <w:r>
                    <w:rPr>
                      <w:rFonts w:ascii="仿宋_GB2312" w:hAnsi="仿宋_GB2312" w:cs="仿宋_GB2312" w:eastAsia="仿宋_GB2312"/>
                      <w:sz w:val="21"/>
                    </w:rPr>
                    <w:t>SVM）、动态形状模型（ASM）等多项成熟技术，能够智能分析舌色、舌形、舌态、苔色、苔质、舌络、面色等特征，记录和跟踪不同时期的舌象、面色特征变化，对疾病的疗效评估具有重要的参考价值，为健康状态的辨识、干预效果的评价提供客观化依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脉象采集分析</w:t>
                  </w:r>
                </w:p>
                <w:p>
                  <w:pPr>
                    <w:pStyle w:val="null3"/>
                    <w:jc w:val="both"/>
                  </w:pPr>
                  <w:r>
                    <w:rPr>
                      <w:rFonts w:ascii="仿宋_GB2312" w:hAnsi="仿宋_GB2312" w:cs="仿宋_GB2312" w:eastAsia="仿宋_GB2312"/>
                      <w:sz w:val="21"/>
                    </w:rPr>
                    <w:t>支持高精度防过载航天级压力传感器，使用磁吸式腕带，通过</w:t>
                  </w:r>
                  <w:r>
                    <w:rPr>
                      <w:rFonts w:ascii="仿宋_GB2312" w:hAnsi="仿宋_GB2312" w:cs="仿宋_GB2312" w:eastAsia="仿宋_GB2312"/>
                      <w:sz w:val="21"/>
                    </w:rPr>
                    <w:t>“无级快速气动加压-连续缓慢减压”模式，模拟中医脉诊过程中的“浮中沉”指法，对受试者脉搏压力信号进行采集。支持传感器将压力信号转化为电信号，能够实时显示被试的脉象图，并通过一系列算法提取脉搏原始数据中的特征值，与中医脉象数据库中数据进行实时比对，智能分析出受试者的中医脉象类型。支持分析被试脉象数据，自动获取最佳脉图，并能够输出多种时频指标，助力中医脉诊客观化研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体质辨识</w:t>
                  </w:r>
                </w:p>
                <w:p>
                  <w:pPr>
                    <w:pStyle w:val="null3"/>
                    <w:jc w:val="both"/>
                  </w:pPr>
                  <w:r>
                    <w:rPr>
                      <w:rFonts w:ascii="仿宋_GB2312" w:hAnsi="仿宋_GB2312" w:cs="仿宋_GB2312" w:eastAsia="仿宋_GB2312"/>
                      <w:sz w:val="21"/>
                    </w:rPr>
                    <w:t>需根据中华中医药学会发布的《中医体质分类与判定》标准、《中医药健康管理服务技术规范》、《国家基本公共卫生服务规范（</w:t>
                  </w:r>
                  <w:r>
                    <w:rPr>
                      <w:rFonts w:ascii="仿宋_GB2312" w:hAnsi="仿宋_GB2312" w:cs="仿宋_GB2312" w:eastAsia="仿宋_GB2312"/>
                      <w:sz w:val="21"/>
                    </w:rPr>
                    <w:t>2011年版）》等文件要求设计，支持开展亚健康人群中医体质辨识、准确快速识别人体9种体质及其兼夹体质。支持慢性病（糖尿病、高血压、高血脂、高尿酸）检测问卷及孕产妇、0-14岁儿童、65岁及以上老年人体质辨识问卷，通过人机交互，判断体质类型，助力健康中国战略。</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智能辨证分析</w:t>
                  </w:r>
                </w:p>
                <w:p>
                  <w:pPr>
                    <w:pStyle w:val="null3"/>
                    <w:jc w:val="both"/>
                  </w:pPr>
                  <w:r>
                    <w:rPr>
                      <w:rFonts w:ascii="仿宋_GB2312" w:hAnsi="仿宋_GB2312" w:cs="仿宋_GB2312" w:eastAsia="仿宋_GB2312"/>
                      <w:sz w:val="21"/>
                    </w:rPr>
                    <w:t>通过对设备实现采集中医四诊信息，进行综合辨证分析，自动得出人体健康状况综合评价结果，并支持为用户提供个性化健康调养方案（季节调养、饮食建议、经典方剂、中成药、针灸、穴位按摩等。</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患者管理</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患者管理</w:t>
                  </w:r>
                </w:p>
                <w:p>
                  <w:pPr>
                    <w:pStyle w:val="null3"/>
                    <w:jc w:val="both"/>
                  </w:pPr>
                  <w:r>
                    <w:rPr>
                      <w:rFonts w:ascii="仿宋_GB2312" w:hAnsi="仿宋_GB2312" w:cs="仿宋_GB2312" w:eastAsia="仿宋_GB2312"/>
                      <w:sz w:val="21"/>
                    </w:rPr>
                    <w:t>需实现从</w:t>
                  </w:r>
                  <w:r>
                    <w:rPr>
                      <w:rFonts w:ascii="仿宋_GB2312" w:hAnsi="仿宋_GB2312" w:cs="仿宋_GB2312" w:eastAsia="仿宋_GB2312"/>
                      <w:sz w:val="21"/>
                    </w:rPr>
                    <w:t>HIS接口获取的当前在院的全部住院患者的查询功能，实现查看患者的基本信息，在院信息，病历信息，医嘱信息，报告信息等。</w:t>
                  </w:r>
                </w:p>
                <w:p>
                  <w:pPr>
                    <w:pStyle w:val="null3"/>
                    <w:jc w:val="both"/>
                  </w:pPr>
                  <w:r>
                    <w:rPr>
                      <w:rFonts w:ascii="仿宋_GB2312" w:hAnsi="仿宋_GB2312" w:cs="仿宋_GB2312" w:eastAsia="仿宋_GB2312"/>
                      <w:sz w:val="21"/>
                    </w:rPr>
                    <w:t>需实现用户使用自动或手工的方式，通过筛选过滤将患者可以有选择的纳入中西医联合诊疗的范畴。并可支持基于复杂条件对患者进行查收和检索。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患者分组</w:t>
                  </w:r>
                </w:p>
                <w:p>
                  <w:pPr>
                    <w:pStyle w:val="null3"/>
                    <w:jc w:val="both"/>
                  </w:pPr>
                  <w:r>
                    <w:rPr>
                      <w:rFonts w:ascii="仿宋_GB2312" w:hAnsi="仿宋_GB2312" w:cs="仿宋_GB2312" w:eastAsia="仿宋_GB2312"/>
                      <w:sz w:val="21"/>
                    </w:rPr>
                    <w:t>需实现基于患者性别、年龄、住院科室、西医诊断、中医体质、中医证型等，按不同的维度进行患者分组。从而支持针对不同的患者分组安排不同的中医医生以及不同的临床管理方案。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患者健康</w:t>
                  </w:r>
                  <w:r>
                    <w:rPr>
                      <w:rFonts w:ascii="仿宋_GB2312" w:hAnsi="仿宋_GB2312" w:cs="仿宋_GB2312" w:eastAsia="仿宋_GB2312"/>
                      <w:sz w:val="21"/>
                    </w:rPr>
                    <w:t>360</w:t>
                  </w:r>
                </w:p>
                <w:p>
                  <w:pPr>
                    <w:pStyle w:val="null3"/>
                    <w:jc w:val="both"/>
                  </w:pPr>
                  <w:r>
                    <w:rPr>
                      <w:rFonts w:ascii="仿宋_GB2312" w:hAnsi="仿宋_GB2312" w:cs="仿宋_GB2312" w:eastAsia="仿宋_GB2312"/>
                      <w:sz w:val="21"/>
                    </w:rPr>
                    <w:t>需实现患者的全景健康视图，可以全面的检索和查看患者的基本信息，生命体征，诊疗信息，病历信息，医嘱信息，报告信息以及中医查房记录，中医治疗记录，中医随访记录等。</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中医查房评估</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查房安排</w:t>
                  </w:r>
                </w:p>
                <w:p>
                  <w:pPr>
                    <w:pStyle w:val="null3"/>
                    <w:jc w:val="both"/>
                  </w:pPr>
                  <w:r>
                    <w:rPr>
                      <w:rFonts w:ascii="仿宋_GB2312" w:hAnsi="仿宋_GB2312" w:cs="仿宋_GB2312" w:eastAsia="仿宋_GB2312"/>
                      <w:sz w:val="21"/>
                    </w:rPr>
                    <w:t>需实现针对中医医生或中医医生团队安排其所负责的患者分组，并为中医医生或中医医生团队安排所负责患者分组的查房工作任务的计划安排。</w:t>
                  </w:r>
                </w:p>
                <w:p>
                  <w:pPr>
                    <w:pStyle w:val="null3"/>
                    <w:jc w:val="both"/>
                  </w:pPr>
                  <w:r>
                    <w:rPr>
                      <w:rFonts w:ascii="仿宋_GB2312" w:hAnsi="仿宋_GB2312" w:cs="仿宋_GB2312" w:eastAsia="仿宋_GB2312"/>
                      <w:sz w:val="21"/>
                    </w:rPr>
                    <w:t>需实现针对每位中医医生，系统根据所分配的患者分组，自动为中医医生生成查房任务。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查房任务执行</w:t>
                  </w:r>
                </w:p>
                <w:p>
                  <w:pPr>
                    <w:pStyle w:val="null3"/>
                    <w:jc w:val="both"/>
                  </w:pPr>
                  <w:r>
                    <w:rPr>
                      <w:rFonts w:ascii="仿宋_GB2312" w:hAnsi="仿宋_GB2312" w:cs="仿宋_GB2312" w:eastAsia="仿宋_GB2312"/>
                      <w:sz w:val="21"/>
                    </w:rPr>
                    <w:t>需实现中医医生提供查房任务及查房任务执行情况的查询检索和任务执行管理，并支持对中医医生进行查房任务的提醒。</w:t>
                  </w:r>
                </w:p>
                <w:p>
                  <w:pPr>
                    <w:pStyle w:val="null3"/>
                    <w:jc w:val="both"/>
                  </w:pPr>
                  <w:r>
                    <w:rPr>
                      <w:rFonts w:ascii="仿宋_GB2312" w:hAnsi="仿宋_GB2312" w:cs="仿宋_GB2312" w:eastAsia="仿宋_GB2312"/>
                      <w:sz w:val="21"/>
                    </w:rPr>
                    <w:t>需实现在同一医生团队中的中医医生共同完成同一组查房任务，并且可支持互相调阅团队内同组的其他患者信息。</w:t>
                  </w:r>
                </w:p>
                <w:p>
                  <w:pPr>
                    <w:pStyle w:val="null3"/>
                    <w:jc w:val="both"/>
                  </w:pPr>
                  <w:r>
                    <w:rPr>
                      <w:rFonts w:ascii="仿宋_GB2312" w:hAnsi="仿宋_GB2312" w:cs="仿宋_GB2312" w:eastAsia="仿宋_GB2312"/>
                      <w:sz w:val="21"/>
                    </w:rPr>
                    <w:t>需实现临床管理人员可修改变更查房任务的责任医生，在原查房医生有其他工作任务时临时指派新的查房任务责任医生。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中医查房工作站（移动端）</w:t>
                  </w:r>
                </w:p>
                <w:p>
                  <w:pPr>
                    <w:pStyle w:val="null3"/>
                    <w:jc w:val="both"/>
                  </w:pPr>
                  <w:r>
                    <w:rPr>
                      <w:rFonts w:ascii="仿宋_GB2312" w:hAnsi="仿宋_GB2312" w:cs="仿宋_GB2312" w:eastAsia="仿宋_GB2312"/>
                      <w:sz w:val="21"/>
                    </w:rPr>
                    <w:t>需实现中医医生提供基于移动设备的查房工作站，为医生在进行中医查房过程中提供极具便携性的使用体验，有效提高中医查房的效率，在患者床旁即可完成中医查房记录以及相应量表和表单的填写和提交。</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查房记录</w:t>
                  </w:r>
                </w:p>
                <w:p>
                  <w:pPr>
                    <w:pStyle w:val="null3"/>
                    <w:jc w:val="both"/>
                  </w:pPr>
                  <w:r>
                    <w:rPr>
                      <w:rFonts w:ascii="仿宋_GB2312" w:hAnsi="仿宋_GB2312" w:cs="仿宋_GB2312" w:eastAsia="仿宋_GB2312"/>
                      <w:sz w:val="21"/>
                    </w:rPr>
                    <w:t>需实现对中医查房记录的查询检索；可以按时间，住院科室，患者，查房医生等维度进行查房记录的查询和调阅。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中医医嘱评估</w:t>
                  </w:r>
                </w:p>
                <w:p>
                  <w:pPr>
                    <w:pStyle w:val="null3"/>
                    <w:jc w:val="both"/>
                  </w:pPr>
                  <w:r>
                    <w:rPr>
                      <w:rFonts w:ascii="仿宋_GB2312" w:hAnsi="仿宋_GB2312" w:cs="仿宋_GB2312" w:eastAsia="仿宋_GB2312"/>
                      <w:sz w:val="21"/>
                    </w:rPr>
                    <w:t>需实现供中医医生进行中医四诊填写、中医体质辨识、评估量表调取及填写，以及自动生成评估结果报告。</w:t>
                  </w:r>
                </w:p>
                <w:p>
                  <w:pPr>
                    <w:pStyle w:val="null3"/>
                    <w:jc w:val="both"/>
                  </w:pPr>
                  <w:r>
                    <w:rPr>
                      <w:rFonts w:ascii="仿宋_GB2312" w:hAnsi="仿宋_GB2312" w:cs="仿宋_GB2312" w:eastAsia="仿宋_GB2312"/>
                      <w:sz w:val="21"/>
                    </w:rPr>
                    <w:t>需实现对全院病区中医医嘱进行执行前评估，确保医嘱有效性和可执行性。</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中医治疗分派</w:t>
                  </w:r>
                </w:p>
                <w:p>
                  <w:pPr>
                    <w:pStyle w:val="null3"/>
                    <w:jc w:val="both"/>
                  </w:pPr>
                  <w:r>
                    <w:rPr>
                      <w:rFonts w:ascii="仿宋_GB2312" w:hAnsi="仿宋_GB2312" w:cs="仿宋_GB2312" w:eastAsia="仿宋_GB2312"/>
                      <w:sz w:val="21"/>
                    </w:rPr>
                    <w:t>需实现根据中医医嘱情况进行治疗分派，支持按排班、人员、小组及角色等多维度进行治疗分派，确保中医治疗有序开展。</w:t>
                  </w:r>
                </w:p>
                <w:p>
                  <w:pPr>
                    <w:pStyle w:val="null3"/>
                    <w:jc w:val="both"/>
                  </w:pPr>
                  <w:r>
                    <w:rPr>
                      <w:rFonts w:ascii="仿宋_GB2312" w:hAnsi="仿宋_GB2312" w:cs="仿宋_GB2312" w:eastAsia="仿宋_GB2312"/>
                      <w:sz w:val="21"/>
                    </w:rPr>
                    <w:t>需实现手工分派，也支持按规则自动分派。</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治疗干预</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治疗计划</w:t>
                  </w:r>
                </w:p>
                <w:p>
                  <w:pPr>
                    <w:pStyle w:val="null3"/>
                    <w:jc w:val="both"/>
                  </w:pPr>
                  <w:r>
                    <w:rPr>
                      <w:rFonts w:ascii="仿宋_GB2312" w:hAnsi="仿宋_GB2312" w:cs="仿宋_GB2312" w:eastAsia="仿宋_GB2312"/>
                      <w:sz w:val="21"/>
                    </w:rPr>
                    <w:t>需实现基于中医医生开局的中医治疗干预方案，系统为患者生成治疗项目的执行计划，并自动将治疗计划分配到具体的中医诊室或中医医生，从而方便患者接受中医治疗，有效的提高中医治疗的效率。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治疗任务执行</w:t>
                  </w:r>
                </w:p>
                <w:p>
                  <w:pPr>
                    <w:pStyle w:val="null3"/>
                    <w:jc w:val="both"/>
                  </w:pPr>
                  <w:r>
                    <w:rPr>
                      <w:rFonts w:ascii="仿宋_GB2312" w:hAnsi="仿宋_GB2312" w:cs="仿宋_GB2312" w:eastAsia="仿宋_GB2312"/>
                      <w:sz w:val="21"/>
                    </w:rPr>
                    <w:t>需实现对患者治疗任务及任务执行的查询检索和任务执行管理，并支持对中医治疗医生进行治疗任务的提醒。可支持中医治疗医生在执行治疗任务时，记录治疗过程及效果。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治疗工作站（移动端）</w:t>
                  </w:r>
                </w:p>
                <w:p>
                  <w:pPr>
                    <w:pStyle w:val="null3"/>
                    <w:jc w:val="both"/>
                  </w:pPr>
                  <w:r>
                    <w:rPr>
                      <w:rFonts w:ascii="仿宋_GB2312" w:hAnsi="仿宋_GB2312" w:cs="仿宋_GB2312" w:eastAsia="仿宋_GB2312"/>
                      <w:sz w:val="21"/>
                    </w:rPr>
                    <w:t>需实现中医治疗医生提供基于移动设备的治疗工作站，为医生在进行中医治疗过程中提供极具便携性的使用体验，支持在患者床旁即可完成中医治疗记录的填写和提交。</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治疗记录</w:t>
                  </w:r>
                </w:p>
                <w:p>
                  <w:pPr>
                    <w:pStyle w:val="null3"/>
                    <w:jc w:val="both"/>
                  </w:pPr>
                  <w:r>
                    <w:rPr>
                      <w:rFonts w:ascii="仿宋_GB2312" w:hAnsi="仿宋_GB2312" w:cs="仿宋_GB2312" w:eastAsia="仿宋_GB2312"/>
                      <w:sz w:val="21"/>
                    </w:rPr>
                    <w:t>需实现对中医治疗记录的查询检索；可以按时间，住院科室，患者，查房医生等维度进行治疗记录的查询。</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中医随访</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随访问卷</w:t>
                  </w:r>
                </w:p>
                <w:p>
                  <w:pPr>
                    <w:pStyle w:val="null3"/>
                    <w:jc w:val="both"/>
                  </w:pPr>
                  <w:r>
                    <w:rPr>
                      <w:rFonts w:ascii="仿宋_GB2312" w:hAnsi="仿宋_GB2312" w:cs="仿宋_GB2312" w:eastAsia="仿宋_GB2312"/>
                      <w:sz w:val="21"/>
                    </w:rPr>
                    <w:t>需实现对随访问卷内容的自定义配置，以及对随访问卷进行新增、编辑、启用、停用、删除的管理操作。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随访方案</w:t>
                  </w:r>
                </w:p>
                <w:p>
                  <w:pPr>
                    <w:pStyle w:val="null3"/>
                    <w:jc w:val="both"/>
                  </w:pPr>
                  <w:r>
                    <w:rPr>
                      <w:rFonts w:ascii="仿宋_GB2312" w:hAnsi="仿宋_GB2312" w:cs="仿宋_GB2312" w:eastAsia="仿宋_GB2312"/>
                      <w:sz w:val="21"/>
                    </w:rPr>
                    <w:t>需实现配置和生成随访计划方案。在编辑随访计划方案的过程中，可支持对具体患者分组，按不同的时间周期计划，选择自定义问卷以及从知识库中选择健康宣教内容进行随访方案的内容配置。</w:t>
                  </w:r>
                </w:p>
                <w:p>
                  <w:pPr>
                    <w:pStyle w:val="null3"/>
                    <w:jc w:val="both"/>
                  </w:pPr>
                  <w:r>
                    <w:rPr>
                      <w:rFonts w:ascii="仿宋_GB2312" w:hAnsi="仿宋_GB2312" w:cs="仿宋_GB2312" w:eastAsia="仿宋_GB2312"/>
                      <w:sz w:val="21"/>
                    </w:rPr>
                    <w:t>需实现随访方案在启用后，即按已配置的方案内容生成随访任务；已启用的随访方案不可删除，仅允许停用；在随访方案停用后，即停止随访任务的生成。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随访任务执行</w:t>
                  </w:r>
                </w:p>
                <w:p>
                  <w:pPr>
                    <w:pStyle w:val="null3"/>
                    <w:jc w:val="both"/>
                  </w:pPr>
                  <w:r>
                    <w:rPr>
                      <w:rFonts w:ascii="仿宋_GB2312" w:hAnsi="仿宋_GB2312" w:cs="仿宋_GB2312" w:eastAsia="仿宋_GB2312"/>
                      <w:sz w:val="21"/>
                    </w:rPr>
                    <w:t>需实现对患者随访任务及任务执行的查询检索和任务执行管理，并支持对中医医生进行随访任务的提醒；可支持多种方式（自动或手工活其他）执行随访任务。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随访记录</w:t>
                  </w:r>
                </w:p>
                <w:p>
                  <w:pPr>
                    <w:pStyle w:val="null3"/>
                    <w:jc w:val="both"/>
                  </w:pPr>
                  <w:r>
                    <w:rPr>
                      <w:rFonts w:ascii="仿宋_GB2312" w:hAnsi="仿宋_GB2312" w:cs="仿宋_GB2312" w:eastAsia="仿宋_GB2312"/>
                      <w:sz w:val="21"/>
                    </w:rPr>
                    <w:t>需实现对中医随访记录的查询检索；可以按时间，住院科室，患者，随访方案等维度进行随访记录和随访结果的查询。</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中医药知识库服务</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量表库</w:t>
                  </w:r>
                </w:p>
                <w:p>
                  <w:pPr>
                    <w:pStyle w:val="null3"/>
                    <w:jc w:val="both"/>
                  </w:pPr>
                  <w:r>
                    <w:rPr>
                      <w:rFonts w:ascii="仿宋_GB2312" w:hAnsi="仿宋_GB2312" w:cs="仿宋_GB2312" w:eastAsia="仿宋_GB2312"/>
                      <w:sz w:val="21"/>
                    </w:rPr>
                    <w:t>需实现进行自定义量表的配置和管理。用户可以根据实际需求，通过可视化的交互界面，进行自定义量表的配置和生成，并将配置完成的量表保存在量表库。已在量表库发布的量表，可以在中医医生查房时，从查房工作站直接调用，进行填写后保存为患者查房评估记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表单库</w:t>
                  </w:r>
                </w:p>
                <w:p>
                  <w:pPr>
                    <w:pStyle w:val="null3"/>
                    <w:jc w:val="both"/>
                  </w:pPr>
                  <w:r>
                    <w:rPr>
                      <w:rFonts w:ascii="仿宋_GB2312" w:hAnsi="仿宋_GB2312" w:cs="仿宋_GB2312" w:eastAsia="仿宋_GB2312"/>
                      <w:sz w:val="21"/>
                    </w:rPr>
                    <w:t>需实现进行自定义表单的配置和管理。用户可以根据实际需求，通过可视化的交互界面，进行自定义表单的配置和生成，并将配置完成的表单保存在表单库。已在表单库发布的表单，可以在中医医生查房时，从查房工作站直接调用，进行填写后保存为患者查房评估记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典籍库</w:t>
                  </w:r>
                </w:p>
                <w:p>
                  <w:pPr>
                    <w:pStyle w:val="null3"/>
                    <w:jc w:val="both"/>
                  </w:pPr>
                  <w:r>
                    <w:rPr>
                      <w:rFonts w:ascii="仿宋_GB2312" w:hAnsi="仿宋_GB2312" w:cs="仿宋_GB2312" w:eastAsia="仿宋_GB2312"/>
                      <w:sz w:val="21"/>
                    </w:rPr>
                    <w:t>需实现中医典籍的收录，查询，浏览和调取功能。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膳食库</w:t>
                  </w:r>
                </w:p>
                <w:p>
                  <w:pPr>
                    <w:pStyle w:val="null3"/>
                    <w:jc w:val="both"/>
                  </w:pPr>
                  <w:r>
                    <w:rPr>
                      <w:rFonts w:ascii="仿宋_GB2312" w:hAnsi="仿宋_GB2312" w:cs="仿宋_GB2312" w:eastAsia="仿宋_GB2312"/>
                      <w:sz w:val="21"/>
                    </w:rPr>
                    <w:t>需实现中医膳食的收录，查询，浏览和调取功能。</w:t>
                  </w:r>
                </w:p>
                <w:p>
                  <w:pPr>
                    <w:pStyle w:val="null3"/>
                    <w:jc w:val="both"/>
                  </w:pPr>
                  <w:r>
                    <w:rPr>
                      <w:rFonts w:ascii="仿宋_GB2312" w:hAnsi="仿宋_GB2312" w:cs="仿宋_GB2312" w:eastAsia="仿宋_GB2312"/>
                      <w:sz w:val="21"/>
                    </w:rPr>
                    <w:t>需实现根据中医体质、时令季节、症候等多维度进行分类查看以及禁忌提示。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疗法库</w:t>
                  </w:r>
                </w:p>
                <w:p>
                  <w:pPr>
                    <w:pStyle w:val="null3"/>
                    <w:jc w:val="both"/>
                  </w:pPr>
                  <w:r>
                    <w:rPr>
                      <w:rFonts w:ascii="仿宋_GB2312" w:hAnsi="仿宋_GB2312" w:cs="仿宋_GB2312" w:eastAsia="仿宋_GB2312"/>
                      <w:sz w:val="21"/>
                    </w:rPr>
                    <w:t>需实现中医疗法的收录，查询，浏览和调取功能。包含不限于针灸、推拿、中医运动调摄、中医康复治疗、音乐疗法、助眠舒眠等调摄活动，支持导入、导出、在线点播、浏览和下载、新增、修改、删除等功能。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方剂库</w:t>
                  </w:r>
                </w:p>
                <w:p>
                  <w:pPr>
                    <w:pStyle w:val="null3"/>
                    <w:jc w:val="both"/>
                  </w:pPr>
                  <w:r>
                    <w:rPr>
                      <w:rFonts w:ascii="仿宋_GB2312" w:hAnsi="仿宋_GB2312" w:cs="仿宋_GB2312" w:eastAsia="仿宋_GB2312"/>
                      <w:sz w:val="21"/>
                    </w:rPr>
                    <w:t>需实现中医方剂的收录，查询，浏览和调取功能。</w:t>
                  </w:r>
                </w:p>
                <w:p>
                  <w:pPr>
                    <w:pStyle w:val="null3"/>
                    <w:jc w:val="both"/>
                  </w:pPr>
                  <w:r>
                    <w:rPr>
                      <w:rFonts w:ascii="仿宋_GB2312" w:hAnsi="仿宋_GB2312" w:cs="仿宋_GB2312" w:eastAsia="仿宋_GB2312"/>
                      <w:sz w:val="21"/>
                    </w:rPr>
                    <w:t>支持根据中医体质、时令季节、症候等多维度进行分类查看以及禁忌提示。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养生指导库</w:t>
                  </w:r>
                </w:p>
                <w:p>
                  <w:pPr>
                    <w:pStyle w:val="null3"/>
                    <w:jc w:val="both"/>
                  </w:pPr>
                  <w:r>
                    <w:rPr>
                      <w:rFonts w:ascii="仿宋_GB2312" w:hAnsi="仿宋_GB2312" w:cs="仿宋_GB2312" w:eastAsia="仿宋_GB2312"/>
                      <w:sz w:val="21"/>
                    </w:rPr>
                    <w:t>需实现中医养生指导的收录，查询，浏览和调取功能。</w:t>
                  </w:r>
                </w:p>
                <w:p>
                  <w:pPr>
                    <w:pStyle w:val="null3"/>
                    <w:jc w:val="both"/>
                  </w:pPr>
                  <w:r>
                    <w:rPr>
                      <w:rFonts w:ascii="仿宋_GB2312" w:hAnsi="仿宋_GB2312" w:cs="仿宋_GB2312" w:eastAsia="仿宋_GB2312"/>
                      <w:sz w:val="21"/>
                    </w:rPr>
                    <w:t>需实现根据中医体质、时令季节、症候等多维度进行分类查看以及禁忌提示。</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案例库</w:t>
                  </w:r>
                </w:p>
                <w:p>
                  <w:pPr>
                    <w:pStyle w:val="null3"/>
                    <w:jc w:val="both"/>
                  </w:pPr>
                  <w:r>
                    <w:rPr>
                      <w:rFonts w:ascii="仿宋_GB2312" w:hAnsi="仿宋_GB2312" w:cs="仿宋_GB2312" w:eastAsia="仿宋_GB2312"/>
                      <w:sz w:val="21"/>
                    </w:rPr>
                    <w:t>需实现中医案例的收录，查询，浏览和调取功能。</w:t>
                  </w:r>
                </w:p>
                <w:p>
                  <w:pPr>
                    <w:pStyle w:val="null3"/>
                    <w:jc w:val="both"/>
                  </w:pPr>
                  <w:r>
                    <w:rPr>
                      <w:rFonts w:ascii="仿宋_GB2312" w:hAnsi="仿宋_GB2312" w:cs="仿宋_GB2312" w:eastAsia="仿宋_GB2312"/>
                      <w:sz w:val="21"/>
                    </w:rPr>
                    <w:t>需实现根据中医体质、时令季节、症候等多维度进行分类组织。</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健康监测服务</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无感睡眠监测仪</w:t>
                  </w:r>
                </w:p>
                <w:p>
                  <w:pPr>
                    <w:pStyle w:val="null3"/>
                    <w:jc w:val="both"/>
                  </w:pPr>
                  <w:r>
                    <w:rPr>
                      <w:rFonts w:ascii="仿宋_GB2312" w:hAnsi="仿宋_GB2312" w:cs="仿宋_GB2312" w:eastAsia="仿宋_GB2312"/>
                      <w:sz w:val="21"/>
                    </w:rPr>
                    <w:t>需实现通过毫米波雷达技术及算法，智能睡眠监测仪在不侵犯隐私的前提下采集长者的日常活动数据，进行睡眠质量分析、生命体征评估、呼吸慢病</w:t>
                  </w:r>
                  <w:r>
                    <w:rPr>
                      <w:rFonts w:ascii="仿宋_GB2312" w:hAnsi="仿宋_GB2312" w:cs="仿宋_GB2312" w:eastAsia="仿宋_GB2312"/>
                      <w:sz w:val="21"/>
                    </w:rPr>
                    <w:t>Al辅助诊疗等功能， 帮助长者制定科学合理的生活规律。</w:t>
                  </w:r>
                </w:p>
                <w:p>
                  <w:pPr>
                    <w:pStyle w:val="null3"/>
                    <w:jc w:val="both"/>
                  </w:pPr>
                  <w:r>
                    <w:rPr>
                      <w:rFonts w:ascii="仿宋_GB2312" w:hAnsi="仿宋_GB2312" w:cs="仿宋_GB2312" w:eastAsia="仿宋_GB2312"/>
                      <w:sz w:val="21"/>
                    </w:rPr>
                    <w:t>非接触毫米波雷达生命探测方式，可探测呼吸、脉搏、睡眠质量等多项体征指数</w:t>
                  </w:r>
                </w:p>
                <w:p>
                  <w:pPr>
                    <w:pStyle w:val="null3"/>
                    <w:jc w:val="both"/>
                  </w:pPr>
                  <w:r>
                    <w:rPr>
                      <w:rFonts w:ascii="仿宋_GB2312" w:hAnsi="仿宋_GB2312" w:cs="仿宋_GB2312" w:eastAsia="仿宋_GB2312"/>
                      <w:sz w:val="21"/>
                    </w:rPr>
                    <w:t>产品尺寸</w:t>
                  </w:r>
                  <w:r>
                    <w:rPr>
                      <w:rFonts w:ascii="仿宋_GB2312" w:hAnsi="仿宋_GB2312" w:cs="仿宋_GB2312" w:eastAsia="仿宋_GB2312"/>
                      <w:sz w:val="21"/>
                    </w:rPr>
                    <w:t>73*42*40.5（mm）</w:t>
                  </w:r>
                </w:p>
                <w:p>
                  <w:pPr>
                    <w:pStyle w:val="null3"/>
                    <w:jc w:val="both"/>
                  </w:pPr>
                  <w:r>
                    <w:rPr>
                      <w:rFonts w:ascii="仿宋_GB2312" w:hAnsi="仿宋_GB2312" w:cs="仿宋_GB2312" w:eastAsia="仿宋_GB2312"/>
                      <w:sz w:val="21"/>
                    </w:rPr>
                    <w:t>工作电压</w:t>
                  </w:r>
                  <w:r>
                    <w:rPr>
                      <w:rFonts w:ascii="仿宋_GB2312" w:hAnsi="仿宋_GB2312" w:cs="仿宋_GB2312" w:eastAsia="仿宋_GB2312"/>
                      <w:sz w:val="21"/>
                    </w:rPr>
                    <w:t>USB Type-C 5V</w:t>
                  </w:r>
                </w:p>
                <w:p>
                  <w:pPr>
                    <w:pStyle w:val="null3"/>
                    <w:jc w:val="both"/>
                  </w:pPr>
                  <w:r>
                    <w:rPr>
                      <w:rFonts w:ascii="仿宋_GB2312" w:hAnsi="仿宋_GB2312" w:cs="仿宋_GB2312" w:eastAsia="仿宋_GB2312"/>
                      <w:sz w:val="21"/>
                    </w:rPr>
                    <w:t>工作电流</w:t>
                  </w:r>
                  <w:r>
                    <w:rPr>
                      <w:rFonts w:ascii="仿宋_GB2312" w:hAnsi="仿宋_GB2312" w:cs="仿宋_GB2312" w:eastAsia="仿宋_GB2312"/>
                      <w:sz w:val="21"/>
                    </w:rPr>
                    <w:t xml:space="preserve">≤300mA  </w:t>
                  </w:r>
                </w:p>
                <w:p>
                  <w:pPr>
                    <w:pStyle w:val="null3"/>
                    <w:jc w:val="both"/>
                  </w:pPr>
                  <w:r>
                    <w:rPr>
                      <w:rFonts w:ascii="仿宋_GB2312" w:hAnsi="仿宋_GB2312" w:cs="仿宋_GB2312" w:eastAsia="仿宋_GB2312"/>
                      <w:sz w:val="21"/>
                    </w:rPr>
                    <w:t>接口能力</w:t>
                  </w:r>
                  <w:r>
                    <w:rPr>
                      <w:rFonts w:ascii="仿宋_GB2312" w:hAnsi="仿宋_GB2312" w:cs="仿宋_GB2312" w:eastAsia="仿宋_GB2312"/>
                      <w:sz w:val="21"/>
                    </w:rPr>
                    <w:t>WiFi MQTT本地化版</w:t>
                  </w:r>
                </w:p>
                <w:p>
                  <w:pPr>
                    <w:pStyle w:val="null3"/>
                    <w:jc w:val="both"/>
                  </w:pPr>
                  <w:r>
                    <w:rPr>
                      <w:rFonts w:ascii="仿宋_GB2312" w:hAnsi="仿宋_GB2312" w:cs="仿宋_GB2312" w:eastAsia="仿宋_GB2312"/>
                      <w:sz w:val="21"/>
                    </w:rPr>
                    <w:t>检测范围</w:t>
                  </w:r>
                  <w:r>
                    <w:rPr>
                      <w:rFonts w:ascii="仿宋_GB2312" w:hAnsi="仿宋_GB2312" w:cs="仿宋_GB2312" w:eastAsia="仿宋_GB2312"/>
                      <w:sz w:val="21"/>
                    </w:rPr>
                    <w:t>0.4~1.5m</w:t>
                  </w:r>
                </w:p>
                <w:p>
                  <w:pPr>
                    <w:pStyle w:val="null3"/>
                    <w:jc w:val="both"/>
                  </w:pPr>
                  <w:r>
                    <w:rPr>
                      <w:rFonts w:ascii="仿宋_GB2312" w:hAnsi="仿宋_GB2312" w:cs="仿宋_GB2312" w:eastAsia="仿宋_GB2312"/>
                      <w:sz w:val="21"/>
                    </w:rPr>
                    <w:t>检测角度</w:t>
                  </w:r>
                  <w:r>
                    <w:rPr>
                      <w:rFonts w:ascii="仿宋_GB2312" w:hAnsi="仿宋_GB2312" w:cs="仿宋_GB2312" w:eastAsia="仿宋_GB2312"/>
                      <w:sz w:val="21"/>
                    </w:rPr>
                    <w:t>波束方位宽度：</w:t>
                  </w:r>
                  <w:r>
                    <w:rPr>
                      <w:rFonts w:ascii="仿宋_GB2312" w:hAnsi="仿宋_GB2312" w:cs="仿宋_GB2312" w:eastAsia="仿宋_GB2312"/>
                      <w:sz w:val="21"/>
                    </w:rPr>
                    <w:t>±60°，波束俯仰宽度 ±60°</w:t>
                  </w:r>
                </w:p>
                <w:p>
                  <w:pPr>
                    <w:pStyle w:val="null3"/>
                    <w:jc w:val="both"/>
                  </w:pPr>
                  <w:r>
                    <w:rPr>
                      <w:rFonts w:ascii="仿宋_GB2312" w:hAnsi="仿宋_GB2312" w:cs="仿宋_GB2312" w:eastAsia="仿宋_GB2312"/>
                      <w:sz w:val="21"/>
                    </w:rPr>
                    <w:t>安装方式</w:t>
                  </w:r>
                  <w:r>
                    <w:rPr>
                      <w:rFonts w:ascii="仿宋_GB2312" w:hAnsi="仿宋_GB2312" w:cs="仿宋_GB2312" w:eastAsia="仿宋_GB2312"/>
                      <w:sz w:val="21"/>
                    </w:rPr>
                    <w:t>壁挂</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w:t>
                  </w:r>
                  <w:r>
                    <w:rPr>
                      <w:rFonts w:ascii="仿宋_GB2312" w:hAnsi="仿宋_GB2312" w:cs="仿宋_GB2312" w:eastAsia="仿宋_GB2312"/>
                      <w:sz w:val="21"/>
                    </w:rPr>
                    <w:t>10℃～55℃</w:t>
                  </w:r>
                </w:p>
                <w:p>
                  <w:pPr>
                    <w:pStyle w:val="null3"/>
                    <w:jc w:val="both"/>
                  </w:pPr>
                  <w:r>
                    <w:rPr>
                      <w:rFonts w:ascii="仿宋_GB2312" w:hAnsi="仿宋_GB2312" w:cs="仿宋_GB2312" w:eastAsia="仿宋_GB2312"/>
                      <w:sz w:val="21"/>
                    </w:rPr>
                    <w:t>工作湿度</w:t>
                  </w:r>
                  <w:r>
                    <w:rPr>
                      <w:rFonts w:ascii="仿宋_GB2312" w:hAnsi="仿宋_GB2312" w:cs="仿宋_GB2312" w:eastAsia="仿宋_GB2312"/>
                      <w:sz w:val="21"/>
                    </w:rPr>
                    <w:t>≤ 95%(无凝结)</w:t>
                  </w:r>
                </w:p>
                <w:p>
                  <w:pPr>
                    <w:pStyle w:val="null3"/>
                    <w:jc w:val="both"/>
                  </w:pPr>
                  <w:r>
                    <w:rPr>
                      <w:rFonts w:ascii="仿宋_GB2312" w:hAnsi="仿宋_GB2312" w:cs="仿宋_GB2312" w:eastAsia="仿宋_GB2312"/>
                      <w:sz w:val="21"/>
                    </w:rPr>
                    <w:t>数据采集：系统应能够采集心率、呼吸、体动、在床状态等关键指标；</w:t>
                  </w:r>
                </w:p>
                <w:p>
                  <w:pPr>
                    <w:pStyle w:val="null3"/>
                    <w:jc w:val="both"/>
                  </w:pPr>
                  <w:r>
                    <w:rPr>
                      <w:rFonts w:ascii="仿宋_GB2312" w:hAnsi="仿宋_GB2312" w:cs="仿宋_GB2312" w:eastAsia="仿宋_GB2312"/>
                      <w:sz w:val="21"/>
                    </w:rPr>
                    <w:t>数据传输：系统应支持实时数据加密传输，延迟不超过秒级。</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00</w:t>
                  </w:r>
                </w:p>
              </w:tc>
            </w:tr>
            <w:tr>
              <w:tc>
                <w:tcPr>
                  <w:tcW w:type="dxa" w:w="126"/>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设备数据采集服务</w:t>
                  </w:r>
                </w:p>
                <w:p>
                  <w:pPr>
                    <w:pStyle w:val="null3"/>
                    <w:jc w:val="both"/>
                  </w:pPr>
                  <w:r>
                    <w:rPr>
                      <w:rFonts w:ascii="仿宋_GB2312" w:hAnsi="仿宋_GB2312" w:cs="仿宋_GB2312" w:eastAsia="仿宋_GB2312"/>
                      <w:sz w:val="21"/>
                    </w:rPr>
                    <w:t>需实现设备接入和数据采集</w:t>
                  </w:r>
                </w:p>
                <w:p>
                  <w:pPr>
                    <w:pStyle w:val="null3"/>
                    <w:jc w:val="both"/>
                  </w:pPr>
                  <w:r>
                    <w:rPr>
                      <w:rFonts w:ascii="仿宋_GB2312" w:hAnsi="仿宋_GB2312" w:cs="仿宋_GB2312" w:eastAsia="仿宋_GB2312"/>
                      <w:sz w:val="21"/>
                    </w:rPr>
                    <w:t>接入方式：系统应支持物联网及</w:t>
                  </w:r>
                  <w:r>
                    <w:rPr>
                      <w:rFonts w:ascii="仿宋_GB2312" w:hAnsi="仿宋_GB2312" w:cs="仿宋_GB2312" w:eastAsia="仿宋_GB2312"/>
                      <w:sz w:val="21"/>
                    </w:rPr>
                    <w:t>4G网络接入，保障多场景下稳定运行；</w:t>
                  </w:r>
                </w:p>
                <w:p>
                  <w:pPr>
                    <w:pStyle w:val="null3"/>
                    <w:jc w:val="both"/>
                  </w:pPr>
                  <w:r>
                    <w:rPr>
                      <w:rFonts w:ascii="仿宋_GB2312" w:hAnsi="仿宋_GB2312" w:cs="仿宋_GB2312" w:eastAsia="仿宋_GB2312"/>
                      <w:sz w:val="21"/>
                    </w:rPr>
                    <w:t>接入设备：系统应支持智能睡眠监测仪设备接入；</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健康监测预警服务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多维度状态识别：需实现“有无人”“呼吸”“运动”“进入呼吸”四大基础状态监测。通过高精度传感器无感捕捉人体信号，无需接触即可判断床上是否有人；实时监测呼吸波动与肢体运动，其中“进入呼吸”状态可精准识别用户躺卧后进入预备入睡的初始阶段，为后续入睡检测提供前置数据支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睡眠活动细分：需实现将夜间活动状态划分为“静卧”“少许活动”“频繁活动”三级。静卧状态代表睡眠安稳；少许活动如轻微翻身、调整睡姿等，属于正常睡眠波动；频繁活动则提示可能存在睡眠不安稳、多梦或环境干扰等情况，数据可辅助分析睡眠中断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入睡时间智能判定：需实现结合人体状态、呼吸频率及活动强度综合算法，精准记录“入睡时间”。不同于传统闹钟的简单计时，该功能可排除“卧床未睡”的无效时间，真实反映用户从躺下到进入睡眠状态的耗时，帮助用户了解自身入睡效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4）行为异常告警：需实现针对夜间异常行为（如长时间离床未归、突发剧烈活动等）触发告警提醒，尤其适合独居老人、儿童或需要特殊照护的人群，降低安全风险。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生命实时告警：需实现当监测到“离床超时”（可自定义超时阈值）、“呼吸/心率异常”（超出正常生理范围）等情况时，立即通过系统推送、声光提醒（部分型号支持）等方式通知用户或家属，实现健康风险的及时预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连续生理数据采集：需实现夜间持续监测“呼吸率”“心率”两大核心生命数值，数据采样频率高达每分钟1次，生成连续变化曲线。用户可查看夜间数值波动，直观了解睡眠过程中的生理状态，为健康管理提供数据参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睡眠阶段划分：需实现基于睡眠周期理论，精准识别“清醒”“浅睡”“深睡”“离床”四种状态。其中深睡阶段占比是衡量睡眠质量的关键指标，浅睡阶段反映睡眠稳定性，系统会自动统计各阶段时长及占比，生成睡眠结构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多维度睡眠报告：需实现自动生成“睡眠日报告、周报告、月报告”。日报告聚焦单日睡眠细节（如入睡时间、深睡时长、异常事件等）；周/月报告则呈现睡眠趋势变化，对比不同时间段的睡眠质量，结合健康建议（如调整作息、优化睡眠环境等），帮助用户逐步改善睡眠习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9）体动指数：需实现通过量化分析夜间肢体运动的幅度与频率，生成“体动指数”（数值范围0-100，数值越低睡眠越安稳），直观反映睡眠过程中的安稳程度，辅助判断是否存在睡眠呼吸暂停、多梦等问题。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10）翻身检测：需实现记录“翻身时间序列”，包括翻身发生的具体时间点、翻身频率等数据。频繁翻身可能提示睡眠不适（如床垫软硬不当、温度不适等），为优化睡眠环境提供参考依据。</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数据分析服务</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中医工作量统计</w:t>
                  </w:r>
                </w:p>
                <w:p>
                  <w:pPr>
                    <w:pStyle w:val="null3"/>
                    <w:jc w:val="both"/>
                  </w:pPr>
                  <w:r>
                    <w:rPr>
                      <w:rFonts w:ascii="仿宋_GB2312" w:hAnsi="仿宋_GB2312" w:cs="仿宋_GB2312" w:eastAsia="仿宋_GB2312"/>
                      <w:sz w:val="21"/>
                    </w:rPr>
                    <w:t>需实现中医医师查房工作量统计（按时间段、病区等多维度）；</w:t>
                  </w:r>
                </w:p>
                <w:p>
                  <w:pPr>
                    <w:pStyle w:val="null3"/>
                    <w:jc w:val="both"/>
                  </w:pPr>
                  <w:r>
                    <w:rPr>
                      <w:rFonts w:ascii="仿宋_GB2312" w:hAnsi="仿宋_GB2312" w:cs="仿宋_GB2312" w:eastAsia="仿宋_GB2312"/>
                      <w:sz w:val="21"/>
                    </w:rPr>
                    <w:t>需实现中医医嘱评估工作量统计（按时间段、病区等多维度）；</w:t>
                  </w:r>
                </w:p>
                <w:p>
                  <w:pPr>
                    <w:pStyle w:val="null3"/>
                    <w:jc w:val="both"/>
                  </w:pPr>
                  <w:r>
                    <w:rPr>
                      <w:rFonts w:ascii="仿宋_GB2312" w:hAnsi="仿宋_GB2312" w:cs="仿宋_GB2312" w:eastAsia="仿宋_GB2312"/>
                      <w:sz w:val="21"/>
                    </w:rPr>
                    <w:t>需实现中医医嘱分派工作量统计（按时间段、病区等多维度）；</w:t>
                  </w:r>
                </w:p>
                <w:p>
                  <w:pPr>
                    <w:pStyle w:val="null3"/>
                    <w:jc w:val="both"/>
                  </w:pPr>
                  <w:r>
                    <w:rPr>
                      <w:rFonts w:ascii="仿宋_GB2312" w:hAnsi="仿宋_GB2312" w:cs="仿宋_GB2312" w:eastAsia="仿宋_GB2312"/>
                      <w:sz w:val="21"/>
                    </w:rPr>
                    <w:t>需实现中医康复治疗工作量统计（按时间段、病区等多维度）；</w:t>
                  </w:r>
                </w:p>
                <w:p>
                  <w:pPr>
                    <w:pStyle w:val="null3"/>
                    <w:jc w:val="both"/>
                  </w:pPr>
                  <w:r>
                    <w:rPr>
                      <w:rFonts w:ascii="仿宋_GB2312" w:hAnsi="仿宋_GB2312" w:cs="仿宋_GB2312" w:eastAsia="仿宋_GB2312"/>
                      <w:sz w:val="21"/>
                    </w:rPr>
                    <w:t>需实现中医查房开展率统计；</w:t>
                  </w:r>
                </w:p>
                <w:p>
                  <w:pPr>
                    <w:pStyle w:val="null3"/>
                    <w:jc w:val="both"/>
                  </w:pPr>
                  <w:r>
                    <w:rPr>
                      <w:rFonts w:ascii="仿宋_GB2312" w:hAnsi="仿宋_GB2312" w:cs="仿宋_GB2312" w:eastAsia="仿宋_GB2312"/>
                      <w:sz w:val="21"/>
                    </w:rPr>
                    <w:t>需实现中医健康随访工作量统计；</w:t>
                  </w:r>
                </w:p>
                <w:p>
                  <w:pPr>
                    <w:pStyle w:val="null3"/>
                    <w:jc w:val="both"/>
                  </w:pPr>
                  <w:r>
                    <w:rPr>
                      <w:rFonts w:ascii="仿宋_GB2312" w:hAnsi="仿宋_GB2312" w:cs="仿宋_GB2312" w:eastAsia="仿宋_GB2312"/>
                      <w:sz w:val="21"/>
                    </w:rPr>
                    <w:t>需实现中医康复方案制定数据统计；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全院中医运行情况</w:t>
                  </w:r>
                </w:p>
                <w:p>
                  <w:pPr>
                    <w:pStyle w:val="null3"/>
                    <w:jc w:val="both"/>
                  </w:pPr>
                  <w:r>
                    <w:rPr>
                      <w:rFonts w:ascii="仿宋_GB2312" w:hAnsi="仿宋_GB2312" w:cs="仿宋_GB2312" w:eastAsia="仿宋_GB2312"/>
                      <w:sz w:val="21"/>
                    </w:rPr>
                    <w:t>需实现全院病区中医药服务开展情况数据统计与展示：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1）中医诊断类：中医辨证次数；中医四诊（望闻问切）完整记录数；中医体质辨识数（针对慢性病/术后患者等）；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2）中医治疗类：中医处方开具数（含院内协定方）； 中医非药物疗法操作次数（核心指标）；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3）中医特色护理操作：中医护理技术操作次数（如耳穴压豆、中药湿敷、刮痧）； 中医健康宣教人次（含饮食、情志、康复指导）；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4）中医康复操作：中医康复技术操作次数（如穴位按摩、中药离子导入、康复功法指导）；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5）中医治疗干预：高危人群中医干预次数（如高血压前期茶饮干预、糖尿病前期穴位贴敷）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6）全院中医药服务开展情况大屏；需实现对一屏对全院中医诊疗业务的数据动态进行可视化监控；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7）支持按照中医查房、中医治疗、茶饮、膳食、中医调摄活动等多种分类查看开展情况；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8）需实现全院中医临床疗效分析；</w:t>
                  </w:r>
                </w:p>
                <w:p>
                  <w:pPr>
                    <w:pStyle w:val="null3"/>
                    <w:numPr>
                      <w:ilvl w:val="0"/>
                      <w:numId w:val="1"/>
                    </w:numPr>
                    <w:ind w:left="120"/>
                    <w:jc w:val="both"/>
                  </w:pPr>
                  <w:r>
                    <w:rPr>
                      <w:rFonts w:ascii="仿宋_GB2312" w:hAnsi="仿宋_GB2312" w:cs="仿宋_GB2312" w:eastAsia="仿宋_GB2312"/>
                      <w:sz w:val="21"/>
                    </w:rPr>
                    <w:t>需实现全院中医科研数据统计等方面的分析。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病区中医药运行情况</w:t>
                  </w:r>
                </w:p>
                <w:p>
                  <w:pPr>
                    <w:pStyle w:val="null3"/>
                    <w:jc w:val="both"/>
                  </w:pPr>
                  <w:r>
                    <w:rPr>
                      <w:rFonts w:ascii="仿宋_GB2312" w:hAnsi="仿宋_GB2312" w:cs="仿宋_GB2312" w:eastAsia="仿宋_GB2312"/>
                      <w:sz w:val="21"/>
                    </w:rPr>
                    <w:t>需实现各病区中医药服务开展情况数据统计与展示：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1）中医诊断类：中医辨证次数；中医四诊（望闻问切）完整记录数；中医体质辨识数（针对慢性病/术后患者等）；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2）中医治疗类：中医处方开具数（含院内协定方）； 中医非药物疗法操作次数（核心指标）；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3）中医特色护理操作：中医护理技术操作次数（如耳穴压豆、中药湿敷、刮痧）； 中医健康宣教人次（含饮食、情志、康复指导）；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4）中医康复操作：中医康复技术操作次数（如穴位按摩、中药离子导入、康复功法指导）；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5）中医治疗干预：高危人群中医干预次数（如高血压前期茶饮干预、糖尿病前期穴位贴敷）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6）可本病区中医药服务开展情况大屏；需实现对一屏对本病区中医诊疗业务的数据动态进行可视化监控；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7）支持按照中医查房、中医治疗、茶饮、膳食、中医调摄活动等多种分类查看开展情况。</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中医知识库统计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1）量表数据统计：该功能实现中医量表的收录，查询，浏览和调取等数据统计；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2）典籍库数据统计：该功能实现中医典籍的收录，查询，浏览和调取等数据统计；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3）膳食库数据统计：该功能实现中医膳食的收录，查询，浏览和调取等数据统计；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4）疗法库数据统计：该功能实现中医疗法的收录，查询，浏览和调取功能等数据统计。包含不限于针灸、推拿、中医运动调摄、中医康复治疗、音乐疗法、助眠舒眠等调摄活动；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5）方剂库数据统计：该功能实现中医方剂的收录，查询，浏览和调取等数据统计；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6）养生指导库数据统计：该功能实现中医养生指导的收录，查询，浏览和调取等数据统计；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7）案例库数据统计：该功能实现中医案例的收录，查询，浏览和调取等数据统计。</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数据接口服务</w:t>
                  </w:r>
                </w:p>
              </w:tc>
              <w:tc>
                <w:tcPr>
                  <w:tcW w:type="dxa" w:w="1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需实现与院内</w:t>
                  </w:r>
                  <w:r>
                    <w:rPr>
                      <w:rFonts w:ascii="仿宋_GB2312" w:hAnsi="仿宋_GB2312" w:cs="仿宋_GB2312" w:eastAsia="仿宋_GB2312"/>
                      <w:sz w:val="21"/>
                    </w:rPr>
                    <w:t>HIS、EMR、LIS和PACS等系统进行数据对接，中医四诊仪等硬件设备进行数据对接。</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当项目达到合同约定的付款条件时，甲方需向乙方一次性支付合同金额100%的款项，乙方需同时向甲方开具与付款金额等额的合规发票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财务状况报告：提供具有财务审计资质单位出具的2024年度财务报告或投标前六个月内其基本账户银行出具的资信证明或政府采购信用担保机构出具的投标担保函；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响应文件封面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具有履行本合同所必需的设备和专业技术能力：提供具有履行本合同所必需的设备和专业技术能力的说明及承诺；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参加政府采购活动前三年内在经营活动中没有重大违法记录：提供书面声明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法定代表人授权书/ 法定代表人身份证明：法定代表人参与投标时需提供法定代表人身份证明；被授权人参与投标时需提供法定代表人授权委托书；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本项目不允许联合体投标</w:t>
            </w:r>
          </w:p>
        </w:tc>
        <w:tc>
          <w:tcPr>
            <w:tcW w:type="dxa" w:w="3322"/>
          </w:tcPr>
          <w:p>
            <w:pPr>
              <w:pStyle w:val="null3"/>
            </w:pPr>
            <w:r>
              <w:rPr>
                <w:rFonts w:ascii="仿宋_GB2312" w:hAnsi="仿宋_GB2312" w:cs="仿宋_GB2312" w:eastAsia="仿宋_GB2312"/>
              </w:rPr>
              <w:t>本项目不允许联合体投标：提供承诺，格式自拟</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响应文件未加盖投标人公章及法定代表人或法定代表人授权的代理人签字或盖章的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按要求签字盖章，内容齐全、关键字迹清晰</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响应文件唯一性</w:t>
            </w:r>
          </w:p>
        </w:tc>
        <w:tc>
          <w:tcPr>
            <w:tcW w:type="dxa" w:w="3322"/>
          </w:tcPr>
          <w:p>
            <w:pPr>
              <w:pStyle w:val="null3"/>
            </w:pPr>
            <w:r>
              <w:rPr>
                <w:rFonts w:ascii="仿宋_GB2312" w:hAnsi="仿宋_GB2312" w:cs="仿宋_GB2312" w:eastAsia="仿宋_GB2312"/>
              </w:rPr>
              <w:t>除磋商文件规定提交备选响应方案外，供应商不得递交两份或多份内容不同的响应文件</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符合磋商文件要求，报价超出采购预算或明显低于成本价且无法提供合理说明的</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磋商报价</w:t>
            </w:r>
          </w:p>
        </w:tc>
        <w:tc>
          <w:tcPr>
            <w:tcW w:type="dxa" w:w="2492"/>
          </w:tcPr>
          <w:p>
            <w:pPr>
              <w:pStyle w:val="null3"/>
            </w:pPr>
            <w:r>
              <w:rPr>
                <w:rFonts w:ascii="仿宋_GB2312" w:hAnsi="仿宋_GB2312" w:cs="仿宋_GB2312" w:eastAsia="仿宋_GB2312"/>
              </w:rPr>
              <w:t>1.价格计算：以通过符合性审查的供应商最终报价中的有效最低报价为基准价，基准价得10分。 2.其他供应商价格得分：价格得分=（基准价÷最终报价）×10（保留两位小数）。 注：报价超出采购预算或明显低于成本价且无法提供合理说明的，价格部分按0分处理。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整体方案设计</w:t>
            </w:r>
          </w:p>
        </w:tc>
        <w:tc>
          <w:tcPr>
            <w:tcW w:type="dxa" w:w="2492"/>
          </w:tcPr>
          <w:p>
            <w:pPr>
              <w:pStyle w:val="null3"/>
            </w:pPr>
            <w:r>
              <w:rPr>
                <w:rFonts w:ascii="仿宋_GB2312" w:hAnsi="仿宋_GB2312" w:cs="仿宋_GB2312" w:eastAsia="仿宋_GB2312"/>
              </w:rPr>
              <w:t>方案深度契合中医药临床与管理场景，实现服务的无缝衔接，构建“数据采集--查房评估--治疗干预--随访监测--分析应用”全流程闭环管理，逻辑严密且可落地，得15.1-20分； 方案基本符合需求，各模块整合性一般，闭环管理存在薄弱环节，得8.1-15分； 方案与需求匹配度低，模块衔接混乱，无明确管理逻辑，得0-8分。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部署实施方案</w:t>
            </w:r>
          </w:p>
        </w:tc>
        <w:tc>
          <w:tcPr>
            <w:tcW w:type="dxa" w:w="2492"/>
          </w:tcPr>
          <w:p>
            <w:pPr>
              <w:pStyle w:val="null3"/>
            </w:pPr>
            <w:r>
              <w:rPr>
                <w:rFonts w:ascii="仿宋_GB2312" w:hAnsi="仿宋_GB2312" w:cs="仿宋_GB2312" w:eastAsia="仿宋_GB2312"/>
              </w:rPr>
              <w:t>包括但不限于①部署实施计划②部署工作流程③部署后测试评估等。 1、部署实施计划合理、部署工作流程清晰、部署后测试评估全面详细得8.1-10分； 2、部署实施计划较合理、部署工作流程较清晰、部署后测试评估较全面较详细得6.1-8分； 3、部署实施计划基本合理、部署工作流程基本清晰、部署后测试评估基本全面详细得4.1-6分； 4、部署实施计划不合理、部署工作流程不清晰、部署后测试评估不全面得0-4分； 5、未提供部署实施方案不得分。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技术参数完全满足或优于采购文件要求的得20分，若标▲项参数有一项负偏离，扣1分；直到扣完为止，正偏离不加分。 注：标▲项提供的系统设计截图需清晰可辨，包含关键参数、逻辑流程或功能界面标注，若截图模糊、信息不全或与技术参数无关，视为未提供有效证明材料，按负偏离处理。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包含但不限于①对项目整体需求的理解及分析②项目整体目标。 1、对项目整体需求的理解及分析全面、清晰，项目整体目标明确得4.1-6分； 2、对项目整体需求的理解及分析较全面、较清晰，项目整体目标较明确得3.1-4分； 3、对项目整体需求的理解及分析基本全面，项目整体目标基本明确得2.1-3分； 4、对项目整体需求的理解及分析不全面，项目整体目标不明确得0-2分； 5、未提供项目需求分析不得分。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1.针对本采购及采购人实际需求提供完整、详细、具体可行的售后服务措施方案，包括但不限于①服务方案②服务承诺③服务内容④售后服务人员配备⑤培训方案等。 按照售后服务方案的完整性、合理性、可行性等计0-5分，若有一处缺项扣1分。 2.提供7×24小时技术支持，响应时间≤2小时，现场解决时间≤4小时，得1分；硬件质保期≥3年，包含不限于硬件定期校准，软件质保期≥1年，包含不限于软件免费升级服务，得1分。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服务人员方案</w:t>
            </w:r>
          </w:p>
        </w:tc>
        <w:tc>
          <w:tcPr>
            <w:tcW w:type="dxa" w:w="2492"/>
          </w:tcPr>
          <w:p>
            <w:pPr>
              <w:pStyle w:val="null3"/>
            </w:pPr>
            <w:r>
              <w:rPr>
                <w:rFonts w:ascii="仿宋_GB2312" w:hAnsi="仿宋_GB2312" w:cs="仿宋_GB2312" w:eastAsia="仿宋_GB2312"/>
              </w:rPr>
              <w:t>包括但不限于①项目人员配备情况②组织管理③专业搭配情况④从业经验等。 1、项目人员配备合理，组织管理内容详细、条理清晰，专业搭配方案合理，团队人员从业经验丰富得6.1-8分； 2、项目人员配备较合理，组织管理内容较详细、条理较清晰，专业搭配方案较合理，团队人员从业经验较丰富得4.1-6分； 3、项目人员配备基本合理，组织管理内容基本详细、条理基本清晰，专业搭配方案基本合理，团队人员从业经验基本丰富得2.1-4分； 4、项目人员配备不合理，组织管理内容不详细、条理不清晰，专业搭配方案合不理，团队人员从业经验不丰富得0-2分； 5、未提供服务人员方案不得分。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包括但不限于①质量目标②质量控制措施③质量承诺等。 1、质量目标明确，质量控制措施完善，质量承诺详细得6.1-9分； 2、质量目标较明确，质量控制措施较完善，质量承诺较详细得4.1-6分； 3、质量目标基本明确，质量控制措施基本完善，质量承诺基本详细得2.1-4分； 4、质量目标不明确，质量控制措施不完善，质量承诺不详细得0-2分； 5、未提供质量保证措施不得分，若有一处缺项扣3分。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提供投标人自2022年1月1日起至今中标（或成交）中医药信息化或医疗平台类项目业绩（以完整合同复印件或中标通知书为准）。每提供一份得2分，最高得10分，未提供不得分。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详见附件：技术参数表.docx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