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D9E7F">
      <w:pPr>
        <w:ind w:firstLine="482" w:firstLineChars="200"/>
        <w:rPr>
          <w:rFonts w:ascii="楷体" w:hAnsi="楷体" w:eastAsia="楷体" w:cs="楷体"/>
          <w:b/>
          <w:bCs/>
        </w:rPr>
      </w:pPr>
      <w:r>
        <w:rPr>
          <w:rFonts w:hint="eastAsia" w:ascii="楷体" w:hAnsi="楷体" w:eastAsia="楷体" w:cs="楷体"/>
          <w:b/>
          <w:bCs/>
        </w:rPr>
        <w:t>（本格式条款供双方签订合同参考，</w:t>
      </w:r>
      <w:r>
        <w:rPr>
          <w:rFonts w:hint="eastAsia" w:ascii="楷体" w:hAnsi="楷体" w:eastAsia="楷体" w:cs="楷体"/>
          <w:b/>
          <w:bCs/>
          <w:lang w:val="en-US" w:eastAsia="zh-CN"/>
        </w:rPr>
        <w:t>采购</w:t>
      </w:r>
      <w:r>
        <w:rPr>
          <w:rFonts w:hint="eastAsia" w:ascii="楷体" w:hAnsi="楷体" w:eastAsia="楷体" w:cs="楷体"/>
          <w:b/>
          <w:bCs/>
        </w:rPr>
        <w:t>人可根据项目的实际情况增减条款和内容）</w:t>
      </w:r>
    </w:p>
    <w:p w14:paraId="2D9DC82C">
      <w:pPr>
        <w:jc w:val="center"/>
        <w:rPr>
          <w:rFonts w:hint="eastAsia" w:ascii="楷体" w:hAnsi="楷体" w:eastAsia="楷体" w:cs="楷体"/>
          <w:b/>
          <w:bCs/>
          <w:color w:val="000000"/>
          <w:sz w:val="44"/>
          <w:szCs w:val="44"/>
          <w:lang w:bidi="en-US"/>
        </w:rPr>
      </w:pPr>
    </w:p>
    <w:p w14:paraId="6FE8516B">
      <w:pPr>
        <w:jc w:val="center"/>
        <w:rPr>
          <w:rFonts w:ascii="楷体" w:hAnsi="楷体" w:eastAsia="楷体" w:cs="楷体"/>
          <w:b/>
          <w:bCs/>
          <w:color w:val="000000"/>
          <w:sz w:val="44"/>
          <w:szCs w:val="44"/>
          <w:lang w:bidi="en-US"/>
        </w:rPr>
      </w:pPr>
      <w:r>
        <w:rPr>
          <w:rFonts w:hint="eastAsia" w:ascii="楷体" w:hAnsi="楷体" w:eastAsia="楷体" w:cs="楷体"/>
          <w:b/>
          <w:bCs/>
          <w:color w:val="000000"/>
          <w:sz w:val="44"/>
          <w:szCs w:val="44"/>
          <w:lang w:bidi="en-US"/>
        </w:rPr>
        <w:t>铜川新材料产业园区市政道路、景观绿化、市政公共设施管护项目</w:t>
      </w:r>
    </w:p>
    <w:p w14:paraId="49127124">
      <w:pPr>
        <w:keepNext/>
        <w:keepLines/>
        <w:widowControl w:val="0"/>
        <w:spacing w:after="120"/>
        <w:jc w:val="center"/>
        <w:outlineLvl w:val="0"/>
        <w:rPr>
          <w:rFonts w:ascii="楷体" w:hAnsi="楷体" w:eastAsia="楷体" w:cs="楷体"/>
          <w:b/>
          <w:bCs/>
          <w:color w:val="000000"/>
          <w:sz w:val="58"/>
          <w:szCs w:val="58"/>
          <w:lang w:bidi="en-US"/>
        </w:rPr>
      </w:pPr>
    </w:p>
    <w:p w14:paraId="27C65B33">
      <w:pPr>
        <w:pStyle w:val="2"/>
      </w:pPr>
    </w:p>
    <w:p w14:paraId="08C26F7C">
      <w:pPr>
        <w:pStyle w:val="2"/>
      </w:pPr>
    </w:p>
    <w:p w14:paraId="466C62C3">
      <w:pPr>
        <w:widowControl w:val="0"/>
        <w:spacing w:after="480"/>
        <w:ind w:left="0" w:leftChars="0" w:firstLine="0" w:firstLineChars="0"/>
        <w:jc w:val="center"/>
        <w:rPr>
          <w:rFonts w:hint="eastAsia" w:ascii="楷体" w:hAnsi="楷体" w:eastAsia="楷体" w:cs="楷体"/>
          <w:b/>
          <w:bCs/>
          <w:color w:val="000000"/>
          <w:sz w:val="58"/>
          <w:szCs w:val="58"/>
          <w:lang w:bidi="en-US"/>
        </w:rPr>
      </w:pPr>
      <w:r>
        <w:rPr>
          <w:rFonts w:hint="eastAsia" w:ascii="楷体" w:hAnsi="楷体" w:eastAsia="楷体" w:cs="楷体"/>
          <w:b/>
          <w:bCs/>
          <w:color w:val="000000"/>
          <w:sz w:val="58"/>
          <w:szCs w:val="58"/>
          <w:lang w:bidi="en-US"/>
        </w:rPr>
        <w:t>合</w:t>
      </w:r>
      <w:r>
        <w:rPr>
          <w:rFonts w:hint="eastAsia" w:ascii="楷体" w:hAnsi="楷体" w:eastAsia="楷体" w:cs="楷体"/>
          <w:b/>
          <w:bCs/>
          <w:color w:val="000000"/>
          <w:sz w:val="58"/>
          <w:szCs w:val="58"/>
          <w:lang w:val="en-US" w:eastAsia="zh-CN" w:bidi="en-US"/>
        </w:rPr>
        <w:t xml:space="preserve"> </w:t>
      </w:r>
      <w:r>
        <w:rPr>
          <w:rFonts w:hint="eastAsia" w:ascii="楷体" w:hAnsi="楷体" w:eastAsia="楷体" w:cs="楷体"/>
          <w:b/>
          <w:bCs/>
          <w:color w:val="000000"/>
          <w:sz w:val="58"/>
          <w:szCs w:val="58"/>
          <w:lang w:bidi="en-US"/>
        </w:rPr>
        <w:t>同</w:t>
      </w:r>
    </w:p>
    <w:p w14:paraId="4644083D">
      <w:pPr>
        <w:widowControl w:val="0"/>
        <w:spacing w:after="480"/>
        <w:ind w:left="0" w:leftChars="0" w:firstLine="0" w:firstLineChars="0"/>
        <w:jc w:val="center"/>
        <w:rPr>
          <w:rFonts w:hint="eastAsia" w:ascii="楷体" w:hAnsi="楷体" w:eastAsia="楷体" w:cs="楷体"/>
          <w:b/>
          <w:bCs/>
          <w:color w:val="000000"/>
          <w:sz w:val="58"/>
          <w:szCs w:val="58"/>
          <w:lang w:eastAsia="zh-CN" w:bidi="en-US"/>
        </w:rPr>
      </w:pPr>
      <w:r>
        <w:rPr>
          <w:rFonts w:hint="eastAsia" w:ascii="楷体" w:hAnsi="楷体" w:eastAsia="楷体" w:cs="楷体"/>
          <w:b/>
          <w:bCs/>
          <w:color w:val="000000"/>
          <w:sz w:val="58"/>
          <w:szCs w:val="58"/>
          <w:lang w:eastAsia="zh-CN" w:bidi="en-US"/>
        </w:rPr>
        <w:t>（</w:t>
      </w:r>
      <w:r>
        <w:rPr>
          <w:rFonts w:hint="eastAsia" w:ascii="楷体" w:hAnsi="楷体" w:eastAsia="楷体" w:cs="楷体"/>
          <w:b/>
          <w:bCs/>
          <w:color w:val="000000"/>
          <w:sz w:val="58"/>
          <w:szCs w:val="58"/>
          <w:lang w:val="en-US" w:eastAsia="zh-CN" w:bidi="en-US"/>
        </w:rPr>
        <w:t>示范文本</w:t>
      </w:r>
      <w:r>
        <w:rPr>
          <w:rFonts w:hint="eastAsia" w:ascii="楷体" w:hAnsi="楷体" w:eastAsia="楷体" w:cs="楷体"/>
          <w:b/>
          <w:bCs/>
          <w:color w:val="000000"/>
          <w:sz w:val="58"/>
          <w:szCs w:val="58"/>
          <w:lang w:eastAsia="zh-CN" w:bidi="en-US"/>
        </w:rPr>
        <w:t>）</w:t>
      </w:r>
    </w:p>
    <w:p w14:paraId="3B73460B">
      <w:pPr>
        <w:widowControl w:val="0"/>
        <w:spacing w:after="480" w:line="500" w:lineRule="exact"/>
        <w:ind w:firstLine="900" w:firstLineChars="300"/>
        <w:rPr>
          <w:rFonts w:hint="eastAsia" w:ascii="楷体" w:hAnsi="楷体" w:eastAsia="楷体" w:cs="楷体"/>
          <w:color w:val="000000"/>
          <w:sz w:val="30"/>
          <w:szCs w:val="30"/>
          <w:lang w:val="zh-TW" w:eastAsia="zh-TW" w:bidi="zh-TW"/>
        </w:rPr>
      </w:pPr>
    </w:p>
    <w:p w14:paraId="77D01F82">
      <w:pPr>
        <w:widowControl w:val="0"/>
        <w:spacing w:after="480" w:line="500" w:lineRule="exact"/>
        <w:ind w:firstLine="900" w:firstLineChars="300"/>
        <w:rPr>
          <w:rFonts w:hint="eastAsia" w:ascii="楷体" w:hAnsi="楷体" w:eastAsia="楷体" w:cs="楷体"/>
          <w:color w:val="000000"/>
          <w:sz w:val="30"/>
          <w:szCs w:val="30"/>
          <w:lang w:val="zh-TW" w:eastAsia="zh-TW" w:bidi="zh-TW"/>
        </w:rPr>
      </w:pPr>
    </w:p>
    <w:p w14:paraId="48DDE59D">
      <w:pPr>
        <w:pStyle w:val="2"/>
        <w:rPr>
          <w:rFonts w:hint="eastAsia" w:ascii="楷体" w:hAnsi="楷体" w:eastAsia="楷体" w:cs="楷体"/>
          <w:color w:val="000000"/>
          <w:sz w:val="30"/>
          <w:szCs w:val="30"/>
          <w:lang w:val="zh-TW" w:eastAsia="zh-TW" w:bidi="zh-TW"/>
        </w:rPr>
      </w:pPr>
    </w:p>
    <w:p w14:paraId="7D6756CA">
      <w:pPr>
        <w:rPr>
          <w:rFonts w:hint="eastAsia" w:ascii="楷体" w:hAnsi="楷体" w:eastAsia="楷体" w:cs="楷体"/>
          <w:color w:val="000000"/>
          <w:sz w:val="30"/>
          <w:szCs w:val="30"/>
          <w:lang w:val="zh-TW" w:eastAsia="zh-TW" w:bidi="zh-TW"/>
        </w:rPr>
      </w:pPr>
    </w:p>
    <w:p w14:paraId="0831EF86">
      <w:pPr>
        <w:pStyle w:val="2"/>
        <w:rPr>
          <w:rFonts w:hint="eastAsia" w:ascii="楷体" w:hAnsi="楷体" w:eastAsia="楷体" w:cs="楷体"/>
          <w:color w:val="000000"/>
          <w:sz w:val="30"/>
          <w:szCs w:val="30"/>
          <w:lang w:val="zh-TW" w:eastAsia="zh-TW" w:bidi="zh-TW"/>
        </w:rPr>
      </w:pPr>
    </w:p>
    <w:p w14:paraId="2BD7F928">
      <w:pPr>
        <w:rPr>
          <w:rFonts w:hint="eastAsia" w:ascii="楷体" w:hAnsi="楷体" w:eastAsia="楷体" w:cs="楷体"/>
          <w:color w:val="000000"/>
          <w:sz w:val="30"/>
          <w:szCs w:val="30"/>
          <w:lang w:val="zh-TW" w:eastAsia="zh-TW" w:bidi="zh-TW"/>
        </w:rPr>
      </w:pPr>
    </w:p>
    <w:p w14:paraId="177559EA">
      <w:pPr>
        <w:widowControl w:val="0"/>
        <w:spacing w:after="480" w:line="500" w:lineRule="exact"/>
        <w:ind w:firstLine="900" w:firstLineChars="300"/>
        <w:rPr>
          <w:rFonts w:ascii="楷体" w:hAnsi="楷体" w:eastAsia="楷体" w:cs="楷体"/>
          <w:color w:val="000000"/>
          <w:sz w:val="30"/>
          <w:szCs w:val="30"/>
          <w:lang w:bidi="en-US"/>
        </w:rPr>
      </w:pPr>
      <w:r>
        <w:rPr>
          <w:rFonts w:hint="eastAsia" w:ascii="楷体" w:hAnsi="楷体" w:eastAsia="楷体" w:cs="楷体"/>
          <w:color w:val="000000"/>
          <w:sz w:val="30"/>
          <w:szCs w:val="30"/>
          <w:lang w:val="zh-TW" w:eastAsia="zh-TW" w:bidi="zh-TW"/>
        </w:rPr>
        <w:t>甲方：</w:t>
      </w:r>
    </w:p>
    <w:p w14:paraId="1383590F">
      <w:pPr>
        <w:widowControl w:val="0"/>
        <w:spacing w:after="480" w:line="500" w:lineRule="exact"/>
        <w:ind w:left="198" w:firstLine="621" w:firstLineChars="207"/>
        <w:rPr>
          <w:rFonts w:ascii="楷体" w:hAnsi="楷体" w:eastAsia="楷体" w:cs="楷体"/>
          <w:color w:val="000000"/>
          <w:sz w:val="30"/>
          <w:szCs w:val="30"/>
          <w:lang w:bidi="zh-TW"/>
        </w:rPr>
      </w:pPr>
      <w:r>
        <w:rPr>
          <w:rFonts w:hint="eastAsia" w:ascii="楷体" w:hAnsi="楷体" w:eastAsia="楷体" w:cs="楷体"/>
          <w:color w:val="000000"/>
          <w:sz w:val="30"/>
          <w:szCs w:val="30"/>
          <w:lang w:val="zh-TW" w:eastAsia="zh-TW" w:bidi="zh-TW"/>
        </w:rPr>
        <w:t>乙方:</w:t>
      </w:r>
    </w:p>
    <w:p w14:paraId="78E509AF">
      <w:pPr>
        <w:widowControl w:val="0"/>
        <w:spacing w:line="528" w:lineRule="exact"/>
        <w:jc w:val="center"/>
        <w:rPr>
          <w:rFonts w:hint="default" w:ascii="楷体" w:hAnsi="楷体" w:eastAsia="楷体" w:cs="楷体"/>
          <w:color w:val="000000"/>
          <w:sz w:val="30"/>
          <w:szCs w:val="30"/>
          <w:lang w:val="en-US" w:eastAsia="zh-CN" w:bidi="zh-TW"/>
        </w:rPr>
      </w:pPr>
      <w:r>
        <w:rPr>
          <w:rFonts w:hint="eastAsia" w:ascii="楷体" w:hAnsi="楷体" w:eastAsia="楷体" w:cs="楷体"/>
          <w:color w:val="000000"/>
          <w:sz w:val="30"/>
          <w:szCs w:val="30"/>
          <w:lang w:val="zh-TW" w:eastAsia="zh-TW" w:bidi="zh-TW"/>
        </w:rPr>
        <w:t>年</w:t>
      </w:r>
      <w:r>
        <w:rPr>
          <w:rFonts w:hint="eastAsia" w:ascii="楷体" w:hAnsi="楷体" w:eastAsia="楷体" w:cs="楷体"/>
          <w:color w:val="000000"/>
          <w:sz w:val="30"/>
          <w:szCs w:val="30"/>
          <w:lang w:val="en-US" w:eastAsia="zh-CN" w:bidi="zh-TW"/>
        </w:rPr>
        <w:t xml:space="preserve">   </w:t>
      </w:r>
      <w:r>
        <w:rPr>
          <w:rFonts w:hint="eastAsia" w:ascii="楷体" w:hAnsi="楷体" w:eastAsia="楷体" w:cs="楷体"/>
          <w:color w:val="000000"/>
          <w:sz w:val="30"/>
          <w:szCs w:val="30"/>
          <w:lang w:val="zh-TW" w:eastAsia="zh-TW" w:bidi="zh-TW"/>
        </w:rPr>
        <w:t>月</w:t>
      </w:r>
      <w:r>
        <w:rPr>
          <w:rFonts w:hint="eastAsia" w:ascii="楷体" w:hAnsi="楷体" w:eastAsia="楷体" w:cs="楷体"/>
          <w:color w:val="000000"/>
          <w:sz w:val="30"/>
          <w:szCs w:val="30"/>
          <w:lang w:val="en-US" w:eastAsia="zh-CN" w:bidi="zh-TW"/>
        </w:rPr>
        <w:t xml:space="preserve">   日</w:t>
      </w:r>
    </w:p>
    <w:p w14:paraId="3069238F">
      <w:pPr>
        <w:widowControl w:val="0"/>
        <w:spacing w:line="360" w:lineRule="auto"/>
        <w:ind w:firstLine="640"/>
        <w:rPr>
          <w:rFonts w:ascii="楷体" w:hAnsi="楷体" w:eastAsia="楷体" w:cs="楷体"/>
          <w:color w:val="000000"/>
          <w:u w:val="single"/>
          <w:lang w:bidi="zh-TW"/>
        </w:rPr>
      </w:pPr>
      <w:r>
        <w:rPr>
          <w:rFonts w:hint="eastAsia" w:ascii="楷体" w:hAnsi="楷体" w:eastAsia="楷体" w:cs="楷体"/>
          <w:color w:val="000000"/>
          <w:lang w:val="zh-TW" w:eastAsia="zh-TW" w:bidi="zh-TW"/>
        </w:rPr>
        <w:t>甲方（</w:t>
      </w:r>
      <w:r>
        <w:rPr>
          <w:rFonts w:hint="eastAsia" w:ascii="楷体" w:hAnsi="楷体" w:eastAsia="楷体" w:cs="楷体"/>
          <w:color w:val="000000"/>
          <w:lang w:bidi="zh-TW"/>
        </w:rPr>
        <w:t>采</w:t>
      </w:r>
      <w:r>
        <w:rPr>
          <w:rFonts w:hint="eastAsia" w:ascii="楷体" w:hAnsi="楷体" w:eastAsia="楷体" w:cs="楷体"/>
          <w:color w:val="000000"/>
          <w:lang w:val="zh-TW" w:eastAsia="zh-TW" w:bidi="zh-TW"/>
        </w:rPr>
        <w:t>购人名称全称）：</w:t>
      </w:r>
    </w:p>
    <w:p w14:paraId="30068596">
      <w:pPr>
        <w:widowControl w:val="0"/>
        <w:spacing w:line="360" w:lineRule="auto"/>
        <w:ind w:firstLine="640"/>
        <w:jc w:val="both"/>
        <w:rPr>
          <w:rFonts w:ascii="楷体" w:hAnsi="楷体" w:eastAsia="楷体" w:cs="楷体"/>
          <w:color w:val="000000"/>
          <w:lang w:val="zh-TW" w:eastAsia="zh-TW" w:bidi="zh-TW"/>
        </w:rPr>
      </w:pPr>
      <w:r>
        <w:rPr>
          <w:rFonts w:hint="eastAsia" w:ascii="楷体" w:hAnsi="楷体" w:eastAsia="楷体" w:cs="楷体"/>
          <w:color w:val="000000"/>
          <w:lang w:val="zh-TW" w:eastAsia="zh-TW" w:bidi="zh-TW"/>
        </w:rPr>
        <w:t>乙方（</w:t>
      </w:r>
      <w:r>
        <w:rPr>
          <w:rFonts w:hint="eastAsia" w:ascii="楷体" w:hAnsi="楷体" w:eastAsia="楷体" w:cs="楷体"/>
          <w:color w:val="000000"/>
          <w:lang w:bidi="zh-TW"/>
        </w:rPr>
        <w:t>投标人</w:t>
      </w:r>
      <w:r>
        <w:rPr>
          <w:rFonts w:hint="eastAsia" w:ascii="楷体" w:hAnsi="楷体" w:eastAsia="楷体" w:cs="楷体"/>
          <w:color w:val="000000"/>
          <w:lang w:val="zh-TW" w:eastAsia="zh-TW" w:bidi="zh-TW"/>
        </w:rPr>
        <w:t>名称全称）：</w:t>
      </w:r>
    </w:p>
    <w:p w14:paraId="30C4611E">
      <w:pPr>
        <w:widowControl w:val="0"/>
        <w:spacing w:line="360" w:lineRule="auto"/>
        <w:ind w:firstLine="640"/>
        <w:jc w:val="both"/>
        <w:rPr>
          <w:rFonts w:ascii="楷体" w:hAnsi="楷体" w:eastAsia="楷体" w:cs="楷体"/>
          <w:color w:val="000000"/>
          <w:lang w:val="zh-TW" w:eastAsia="zh-TW" w:bidi="zh-TW"/>
        </w:rPr>
      </w:pPr>
      <w:r>
        <w:rPr>
          <w:rFonts w:hint="eastAsia" w:ascii="楷体" w:hAnsi="楷体" w:eastAsia="楷体" w:cs="楷体"/>
          <w:color w:val="000000"/>
          <w:lang w:val="zh-TW" w:eastAsia="zh-TW" w:bidi="zh-TW"/>
        </w:rPr>
        <w:t>按照政府</w:t>
      </w:r>
      <w:r>
        <w:rPr>
          <w:rFonts w:hint="eastAsia" w:ascii="楷体" w:hAnsi="楷体" w:eastAsia="楷体" w:cs="楷体"/>
          <w:color w:val="000000"/>
          <w:lang w:bidi="zh-TW"/>
        </w:rPr>
        <w:t>采</w:t>
      </w:r>
      <w:r>
        <w:rPr>
          <w:rFonts w:hint="eastAsia" w:ascii="楷体" w:hAnsi="楷体" w:eastAsia="楷体" w:cs="楷体"/>
          <w:color w:val="000000"/>
          <w:lang w:val="zh-TW" w:eastAsia="zh-TW" w:bidi="zh-TW"/>
        </w:rPr>
        <w:t>购程序组织</w:t>
      </w:r>
      <w:r>
        <w:rPr>
          <w:rFonts w:hint="eastAsia" w:ascii="楷体" w:hAnsi="楷体" w:eastAsia="楷体" w:cs="楷体"/>
          <w:color w:val="000000"/>
          <w:lang w:bidi="zh-TW"/>
        </w:rPr>
        <w:t>公开招标</w:t>
      </w:r>
      <w:r>
        <w:rPr>
          <w:rFonts w:hint="eastAsia" w:ascii="楷体" w:hAnsi="楷体" w:eastAsia="楷体" w:cs="楷体"/>
          <w:color w:val="000000"/>
          <w:lang w:val="zh-TW" w:eastAsia="zh-TW" w:bidi="zh-TW"/>
        </w:rPr>
        <w:t>，确定乙方为</w:t>
      </w:r>
      <w:r>
        <w:rPr>
          <w:rFonts w:hint="eastAsia" w:ascii="楷体" w:hAnsi="楷体" w:eastAsia="楷体" w:cs="楷体"/>
          <w:color w:val="000000"/>
          <w:lang w:bidi="zh-TW"/>
        </w:rPr>
        <w:t>铜川新材料产业园区市政道路、景观绿化、市政公共设施管护项目</w:t>
      </w:r>
      <w:r>
        <w:rPr>
          <w:rFonts w:hint="eastAsia" w:ascii="楷体" w:hAnsi="楷体" w:eastAsia="楷体" w:cs="楷体"/>
          <w:color w:val="000000"/>
          <w:lang w:val="zh-TW" w:eastAsia="zh-TW" w:bidi="zh-TW"/>
        </w:rPr>
        <w:t>（项目编号：HRPD-2025-11</w:t>
      </w:r>
      <w:r>
        <w:rPr>
          <w:rFonts w:hint="eastAsia" w:ascii="楷体" w:hAnsi="楷体" w:eastAsia="楷体" w:cs="楷体"/>
          <w:color w:val="000000"/>
          <w:lang w:bidi="en-US"/>
        </w:rPr>
        <w:t>）中标</w:t>
      </w:r>
      <w:r>
        <w:rPr>
          <w:rFonts w:hint="eastAsia" w:ascii="楷体" w:hAnsi="楷体" w:eastAsia="楷体" w:cs="楷体"/>
          <w:color w:val="000000"/>
          <w:lang w:val="zh-TW" w:bidi="zh-TW"/>
        </w:rPr>
        <w:t>人</w:t>
      </w:r>
      <w:r>
        <w:rPr>
          <w:rFonts w:hint="eastAsia" w:ascii="楷体" w:hAnsi="楷体" w:eastAsia="楷体" w:cs="楷体"/>
          <w:color w:val="000000"/>
          <w:lang w:val="zh-TW" w:eastAsia="zh-TW" w:bidi="zh-TW"/>
        </w:rPr>
        <w:t>。依据《中华人民共和国政府采购法》、《中华人民共和国政府采购法实施条例》</w:t>
      </w:r>
      <w:r>
        <w:rPr>
          <w:rFonts w:hint="eastAsia" w:ascii="楷体" w:hAnsi="楷体" w:eastAsia="楷体" w:cs="楷体"/>
          <w:color w:val="000000"/>
          <w:lang w:val="zh-TW" w:bidi="zh-TW"/>
        </w:rPr>
        <w:t>、</w:t>
      </w:r>
      <w:r>
        <w:rPr>
          <w:rFonts w:hint="eastAsia" w:ascii="楷体" w:hAnsi="楷体" w:eastAsia="楷体" w:cs="楷体"/>
          <w:color w:val="000000"/>
          <w:lang w:val="zh-TW" w:eastAsia="zh-TW" w:bidi="zh-TW"/>
        </w:rPr>
        <w:t>《中华人民共和国民法典》以及</w:t>
      </w:r>
      <w:r>
        <w:rPr>
          <w:rFonts w:hint="eastAsia" w:ascii="楷体" w:hAnsi="楷体" w:eastAsia="楷体" w:cs="楷体"/>
          <w:color w:val="000000"/>
          <w:lang w:bidi="zh-TW"/>
        </w:rPr>
        <w:t>招标</w:t>
      </w:r>
      <w:r>
        <w:rPr>
          <w:rFonts w:hint="eastAsia" w:ascii="楷体" w:hAnsi="楷体" w:eastAsia="楷体" w:cs="楷体"/>
          <w:color w:val="000000"/>
          <w:lang w:val="zh-TW" w:eastAsia="zh-TW" w:bidi="zh-TW"/>
        </w:rPr>
        <w:t>文件</w:t>
      </w:r>
      <w:r>
        <w:rPr>
          <w:rFonts w:hint="eastAsia" w:ascii="楷体" w:hAnsi="楷体" w:eastAsia="楷体" w:cs="楷体"/>
          <w:color w:val="000000"/>
          <w:lang w:val="zh-TW" w:bidi="zh-TW"/>
        </w:rPr>
        <w:t>、</w:t>
      </w:r>
      <w:r>
        <w:rPr>
          <w:rFonts w:hint="eastAsia" w:ascii="楷体" w:hAnsi="楷体" w:eastAsia="楷体" w:cs="楷体"/>
          <w:color w:val="000000"/>
          <w:lang w:bidi="zh-TW"/>
        </w:rPr>
        <w:t>中标</w:t>
      </w:r>
      <w:r>
        <w:rPr>
          <w:rFonts w:hint="eastAsia" w:ascii="楷体" w:hAnsi="楷体" w:eastAsia="楷体" w:cs="楷体"/>
          <w:color w:val="000000"/>
          <w:lang w:val="zh-TW" w:eastAsia="zh-TW" w:bidi="zh-TW"/>
        </w:rPr>
        <w:t>通知书，经甲、乙双方协商，达成如下合同条款。</w:t>
      </w:r>
    </w:p>
    <w:p w14:paraId="1FFED0BF">
      <w:pPr>
        <w:widowControl w:val="0"/>
        <w:adjustRightInd w:val="0"/>
        <w:snapToGrid w:val="0"/>
        <w:spacing w:beforeLines="50" w:afterLines="50"/>
        <w:ind w:firstLine="480" w:firstLineChars="200"/>
        <w:jc w:val="both"/>
        <w:rPr>
          <w:rFonts w:ascii="楷体" w:hAnsi="楷体" w:eastAsia="楷体" w:cs="楷体"/>
          <w:b/>
        </w:rPr>
      </w:pPr>
      <w:r>
        <w:rPr>
          <w:rFonts w:hint="eastAsia" w:ascii="楷体" w:hAnsi="楷体" w:eastAsia="楷体" w:cs="楷体"/>
        </w:rPr>
        <w:t>一、</w:t>
      </w:r>
      <w:r>
        <w:rPr>
          <w:rFonts w:hint="eastAsia" w:ascii="楷体" w:hAnsi="楷体" w:eastAsia="楷体" w:cs="楷体"/>
          <w:b/>
          <w:lang w:val="en-US" w:eastAsia="zh-CN"/>
        </w:rPr>
        <w:t>工程</w:t>
      </w:r>
      <w:r>
        <w:rPr>
          <w:rFonts w:hint="eastAsia" w:ascii="楷体" w:hAnsi="楷体" w:eastAsia="楷体" w:cs="楷体"/>
          <w:b/>
        </w:rPr>
        <w:t>管理范围</w:t>
      </w:r>
    </w:p>
    <w:p w14:paraId="57EEE483">
      <w:pPr>
        <w:widowControl w:val="0"/>
        <w:adjustRightInd w:val="0"/>
        <w:snapToGrid w:val="0"/>
        <w:spacing w:beforeLines="50" w:afterLines="50" w:line="520" w:lineRule="exact"/>
        <w:ind w:firstLine="480" w:firstLineChars="200"/>
        <w:jc w:val="both"/>
        <w:rPr>
          <w:rFonts w:ascii="楷体" w:hAnsi="楷体" w:eastAsia="楷体" w:cs="楷体"/>
        </w:rPr>
      </w:pPr>
      <w:r>
        <w:rPr>
          <w:rFonts w:hint="eastAsia" w:ascii="楷体" w:hAnsi="楷体" w:eastAsia="楷体" w:cs="楷体"/>
          <w:lang w:val="en-US" w:eastAsia="zh-CN"/>
        </w:rPr>
        <w:t>工程</w:t>
      </w:r>
      <w:r>
        <w:rPr>
          <w:rFonts w:hint="eastAsia" w:ascii="楷体" w:hAnsi="楷体" w:eastAsia="楷体" w:cs="楷体"/>
        </w:rPr>
        <w:t>管理范围：管护区域内14条市政道路,管护区域内乔木、灌木、绿篱、草坪等景观绿化,管护区域内公园、公厕、路灯等市政公共设施;</w:t>
      </w:r>
    </w:p>
    <w:p w14:paraId="0C74FE10">
      <w:pPr>
        <w:numPr>
          <w:ilvl w:val="0"/>
          <w:numId w:val="2"/>
        </w:numPr>
        <w:adjustRightInd w:val="0"/>
        <w:snapToGrid w:val="0"/>
        <w:spacing w:afterLines="50" w:line="520" w:lineRule="exact"/>
        <w:ind w:firstLine="482" w:firstLineChars="200"/>
        <w:jc w:val="both"/>
        <w:rPr>
          <w:rFonts w:ascii="楷体" w:hAnsi="楷体" w:eastAsia="楷体" w:cs="楷体"/>
          <w:b/>
        </w:rPr>
      </w:pPr>
      <w:r>
        <w:rPr>
          <w:rFonts w:hint="eastAsia" w:ascii="楷体" w:hAnsi="楷体" w:eastAsia="楷体" w:cs="楷体"/>
          <w:b/>
        </w:rPr>
        <w:t>合同期限</w:t>
      </w:r>
    </w:p>
    <w:p w14:paraId="70E71D62">
      <w:pPr>
        <w:widowControl w:val="0"/>
        <w:adjustRightInd w:val="0"/>
        <w:snapToGrid w:val="0"/>
        <w:spacing w:afterLines="50" w:line="520" w:lineRule="exact"/>
        <w:ind w:firstLine="480" w:firstLineChars="200"/>
        <w:jc w:val="both"/>
        <w:rPr>
          <w:rFonts w:ascii="楷体" w:hAnsi="楷体" w:eastAsia="楷体" w:cs="楷体"/>
          <w:lang w:val="zh-TW" w:eastAsia="zh-TW"/>
        </w:rPr>
      </w:pPr>
      <w:r>
        <w:rPr>
          <w:rFonts w:hint="eastAsia" w:ascii="楷体" w:hAnsi="楷体" w:eastAsia="楷体" w:cs="楷体"/>
          <w:lang w:val="zh-TW" w:eastAsia="zh-TW"/>
        </w:rPr>
        <w:t>服务期限为</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年</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月</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日至</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年</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月</w:t>
      </w:r>
      <w:r>
        <w:rPr>
          <w:rFonts w:hint="eastAsia" w:ascii="楷体" w:hAnsi="楷体" w:eastAsia="楷体" w:cs="楷体"/>
          <w:u w:val="single"/>
          <w:lang w:val="en-US" w:eastAsia="zh-CN"/>
        </w:rPr>
        <w:t xml:space="preserve">    </w:t>
      </w:r>
      <w:r>
        <w:rPr>
          <w:rFonts w:hint="eastAsia" w:ascii="楷体" w:hAnsi="楷体" w:eastAsia="楷体" w:cs="楷体"/>
          <w:lang w:val="zh-TW" w:eastAsia="zh-TW"/>
        </w:rPr>
        <w:t>日。</w:t>
      </w:r>
    </w:p>
    <w:p w14:paraId="33ECE4C2">
      <w:pPr>
        <w:widowControl w:val="0"/>
        <w:adjustRightInd w:val="0"/>
        <w:snapToGrid w:val="0"/>
        <w:spacing w:afterLines="50" w:line="520" w:lineRule="exact"/>
        <w:ind w:firstLine="480" w:firstLineChars="200"/>
        <w:jc w:val="both"/>
        <w:rPr>
          <w:rFonts w:ascii="楷体" w:hAnsi="楷体" w:eastAsia="楷体" w:cs="楷体"/>
          <w:lang w:val="zh-TW" w:eastAsia="zh-TW"/>
        </w:rPr>
      </w:pPr>
      <w:r>
        <w:rPr>
          <w:rFonts w:hint="eastAsia" w:ascii="楷体" w:hAnsi="楷体" w:eastAsia="楷体" w:cs="楷体"/>
        </w:rPr>
        <w:t>中标人</w:t>
      </w:r>
      <w:r>
        <w:rPr>
          <w:rFonts w:hint="eastAsia" w:ascii="楷体" w:hAnsi="楷体" w:eastAsia="楷体" w:cs="楷体"/>
          <w:lang w:val="zh-TW" w:eastAsia="zh-TW"/>
        </w:rPr>
        <w:t>应按照采购人的管理要求、标准及投标文件与采购人签订服务期</w:t>
      </w:r>
      <w:r>
        <w:rPr>
          <w:rFonts w:hint="eastAsia" w:ascii="楷体" w:hAnsi="楷体" w:eastAsia="楷体" w:cs="楷体"/>
        </w:rPr>
        <w:t>合同</w:t>
      </w:r>
      <w:r>
        <w:rPr>
          <w:rFonts w:hint="eastAsia" w:ascii="楷体" w:hAnsi="楷体" w:eastAsia="楷体" w:cs="楷体"/>
          <w:lang w:val="zh-TW" w:eastAsia="zh-TW"/>
        </w:rPr>
        <w:t>并接受采购人的指导、监督和检查验收，乙方不得将业务转包。</w:t>
      </w:r>
    </w:p>
    <w:p w14:paraId="1ACDACBA">
      <w:pPr>
        <w:widowControl w:val="0"/>
        <w:adjustRightInd w:val="0"/>
        <w:snapToGrid w:val="0"/>
        <w:spacing w:afterLines="50" w:line="520" w:lineRule="exact"/>
        <w:ind w:firstLine="482" w:firstLineChars="200"/>
        <w:jc w:val="both"/>
        <w:rPr>
          <w:rFonts w:ascii="楷体" w:hAnsi="楷体" w:eastAsia="楷体" w:cs="楷体"/>
          <w:b/>
          <w:bCs/>
        </w:rPr>
      </w:pPr>
      <w:r>
        <w:rPr>
          <w:rFonts w:hint="eastAsia" w:ascii="楷体" w:hAnsi="楷体" w:eastAsia="楷体" w:cs="楷体"/>
          <w:b/>
          <w:bCs/>
        </w:rPr>
        <w:t>三、质量标准</w:t>
      </w:r>
    </w:p>
    <w:p w14:paraId="2F3432EC">
      <w:pPr>
        <w:widowControl w:val="0"/>
        <w:adjustRightInd w:val="0"/>
        <w:snapToGrid w:val="0"/>
        <w:spacing w:afterLines="50" w:line="520" w:lineRule="exact"/>
        <w:ind w:firstLine="480" w:firstLineChars="200"/>
        <w:jc w:val="both"/>
        <w:rPr>
          <w:rFonts w:hint="eastAsia" w:ascii="楷体" w:hAnsi="楷体" w:eastAsia="楷体" w:cs="楷体"/>
          <w:lang w:eastAsia="zh-CN"/>
        </w:rPr>
      </w:pPr>
      <w:r>
        <w:rPr>
          <w:rFonts w:hint="eastAsia" w:ascii="楷体" w:hAnsi="楷体" w:eastAsia="楷体" w:cs="楷体"/>
        </w:rPr>
        <w:t>应达到国家及行业标准，并满足甲方要求及考核标准</w:t>
      </w:r>
      <w:r>
        <w:rPr>
          <w:rFonts w:hint="eastAsia" w:ascii="楷体" w:hAnsi="楷体" w:eastAsia="楷体" w:cs="楷体"/>
          <w:lang w:eastAsia="zh-CN"/>
        </w:rPr>
        <w:t>。</w:t>
      </w:r>
    </w:p>
    <w:p w14:paraId="6045884D">
      <w:pPr>
        <w:widowControl w:val="0"/>
        <w:adjustRightInd w:val="0"/>
        <w:snapToGrid w:val="0"/>
        <w:spacing w:afterLines="50" w:line="520" w:lineRule="exact"/>
        <w:ind w:firstLine="482" w:firstLineChars="200"/>
        <w:jc w:val="both"/>
        <w:rPr>
          <w:rFonts w:ascii="楷体" w:hAnsi="楷体" w:eastAsia="楷体" w:cs="楷体"/>
        </w:rPr>
      </w:pPr>
      <w:r>
        <w:rPr>
          <w:rFonts w:hint="eastAsia" w:ascii="楷体" w:hAnsi="楷体" w:eastAsia="楷体" w:cs="楷体"/>
          <w:b/>
          <w:bCs/>
        </w:rPr>
        <w:t>四、</w:t>
      </w:r>
      <w:r>
        <w:rPr>
          <w:rFonts w:hint="eastAsia" w:ascii="楷体" w:hAnsi="楷体" w:eastAsia="楷体" w:cs="楷体"/>
          <w:b/>
        </w:rPr>
        <w:t>合同价款及支付方式</w:t>
      </w:r>
    </w:p>
    <w:p w14:paraId="270CCAEB">
      <w:pPr>
        <w:widowControl w:val="0"/>
        <w:adjustRightInd w:val="0"/>
        <w:snapToGrid w:val="0"/>
        <w:spacing w:line="520" w:lineRule="exact"/>
        <w:ind w:firstLine="482" w:firstLineChars="200"/>
        <w:jc w:val="both"/>
        <w:rPr>
          <w:rFonts w:ascii="楷体" w:hAnsi="楷体" w:eastAsia="楷体" w:cs="楷体"/>
          <w:b/>
          <w:bCs/>
        </w:rPr>
      </w:pPr>
      <w:r>
        <w:rPr>
          <w:rFonts w:hint="eastAsia" w:ascii="楷体" w:hAnsi="楷体" w:eastAsia="楷体" w:cs="楷体"/>
          <w:b/>
          <w:bCs/>
        </w:rPr>
        <w:t>（一）合同价款及组成</w:t>
      </w:r>
    </w:p>
    <w:p w14:paraId="06D1005F">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本合同含税总价款为人民币（大写）</w:t>
      </w:r>
      <w:r>
        <w:rPr>
          <w:rFonts w:hint="eastAsia" w:ascii="楷体" w:hAnsi="楷体" w:eastAsia="楷体" w:cs="楷体"/>
          <w:u w:val="single"/>
          <w:lang w:val="en-US" w:eastAsia="zh-CN"/>
        </w:rPr>
        <w:t xml:space="preserve">        </w:t>
      </w:r>
      <w:r>
        <w:rPr>
          <w:rFonts w:hint="eastAsia" w:ascii="楷体" w:hAnsi="楷体" w:eastAsia="楷体" w:cs="楷体"/>
        </w:rPr>
        <w:t>（￥</w:t>
      </w:r>
      <w:r>
        <w:rPr>
          <w:rFonts w:hint="eastAsia" w:ascii="楷体" w:hAnsi="楷体" w:eastAsia="楷体" w:cs="楷体"/>
          <w:u w:val="single"/>
          <w:lang w:val="en-US" w:eastAsia="zh-CN"/>
        </w:rPr>
        <w:t xml:space="preserve">        </w:t>
      </w:r>
      <w:r>
        <w:rPr>
          <w:rFonts w:hint="eastAsia" w:ascii="楷体" w:hAnsi="楷体" w:eastAsia="楷体" w:cs="楷体"/>
        </w:rPr>
        <w:t>元）</w:t>
      </w:r>
      <w:r>
        <w:rPr>
          <w:rFonts w:hint="eastAsia" w:ascii="楷体" w:hAnsi="楷体" w:eastAsia="楷体" w:cs="楷体"/>
          <w:lang w:eastAsia="zh-CN"/>
        </w:rPr>
        <w:t>。</w:t>
      </w:r>
    </w:p>
    <w:p w14:paraId="17EE25E8">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（二）价款结算及支付方式</w:t>
      </w:r>
    </w:p>
    <w:p w14:paraId="236E51A4">
      <w:pPr>
        <w:widowControl w:val="0"/>
        <w:adjustRightInd w:val="0"/>
        <w:snapToGrid w:val="0"/>
        <w:spacing w:line="520" w:lineRule="exact"/>
        <w:ind w:firstLine="475" w:firstLineChars="198"/>
        <w:jc w:val="both"/>
        <w:rPr>
          <w:rFonts w:ascii="楷体" w:hAnsi="楷体" w:eastAsia="楷体" w:cs="楷体"/>
        </w:rPr>
      </w:pPr>
      <w:r>
        <w:rPr>
          <w:rFonts w:hint="eastAsia" w:ascii="楷体" w:hAnsi="楷体" w:eastAsia="楷体" w:cs="楷体"/>
        </w:rPr>
        <w:t>1、双方约定，本合同服务费支付方式如下：</w:t>
      </w:r>
    </w:p>
    <w:p w14:paraId="4ED65962">
      <w:pPr>
        <w:widowControl w:val="0"/>
        <w:adjustRightInd w:val="0"/>
        <w:snapToGrid w:val="0"/>
        <w:spacing w:line="520" w:lineRule="exact"/>
        <w:ind w:firstLine="475" w:firstLineChars="198"/>
        <w:jc w:val="both"/>
        <w:rPr>
          <w:rFonts w:hint="eastAsia" w:ascii="楷体" w:hAnsi="楷体" w:eastAsia="楷体" w:cs="楷体"/>
          <w:lang w:eastAsia="zh-CN"/>
        </w:rPr>
      </w:pPr>
      <w:r>
        <w:rPr>
          <w:rFonts w:hint="eastAsia" w:ascii="楷体" w:hAnsi="楷体" w:eastAsia="楷体" w:cs="楷体"/>
        </w:rPr>
        <w:t>费用自乙方正式进场之日起（以甲方进场通知单为准），按</w:t>
      </w:r>
      <w:r>
        <w:rPr>
          <w:rFonts w:hint="eastAsia" w:ascii="楷体" w:hAnsi="楷体" w:eastAsia="楷体" w:cs="楷体"/>
          <w:u w:val="single"/>
          <w:lang w:val="en-US" w:eastAsia="zh-CN"/>
        </w:rPr>
        <w:t xml:space="preserve">         </w:t>
      </w:r>
      <w:r>
        <w:rPr>
          <w:rFonts w:hint="eastAsia" w:ascii="楷体" w:hAnsi="楷体" w:eastAsia="楷体" w:cs="楷体"/>
        </w:rPr>
        <w:t>结算。甲方根据乙方提供的每月的绿化养护评分表及其他资料</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考核</w:t>
      </w:r>
      <w:r>
        <w:rPr>
          <w:rFonts w:hint="eastAsia" w:ascii="楷体" w:hAnsi="楷体" w:eastAsia="楷体" w:cs="楷体"/>
        </w:rPr>
        <w:t>一次，经</w:t>
      </w:r>
      <w:r>
        <w:rPr>
          <w:rFonts w:hint="eastAsia" w:ascii="楷体" w:hAnsi="楷体" w:eastAsia="楷体" w:cs="楷体"/>
          <w:lang w:val="en-US" w:eastAsia="zh-CN"/>
        </w:rPr>
        <w:t>考核</w:t>
      </w:r>
      <w:r>
        <w:rPr>
          <w:rFonts w:hint="eastAsia" w:ascii="楷体" w:hAnsi="楷体" w:eastAsia="楷体" w:cs="楷体"/>
        </w:rPr>
        <w:t>合格办理结算付款手续，乙方提交该季度结算付款申请书</w:t>
      </w:r>
      <w:r>
        <w:rPr>
          <w:rFonts w:hint="eastAsia" w:ascii="楷体" w:hAnsi="楷体" w:eastAsia="楷体" w:cs="楷体"/>
          <w:lang w:eastAsia="zh-CN"/>
        </w:rPr>
        <w:t>、</w:t>
      </w:r>
      <w:r>
        <w:rPr>
          <w:rFonts w:hint="eastAsia" w:ascii="楷体" w:hAnsi="楷体" w:eastAsia="楷体" w:cs="楷体"/>
        </w:rPr>
        <w:t>季度工作总结、费用确认单、处罚单等相关资料，经甲方审核无误后，经审定后提交正式税务发票，由甲方提交审核并履行相关手续后通过转账的方式向乙方指定账户支付当期服务费</w:t>
      </w:r>
      <w:r>
        <w:rPr>
          <w:rFonts w:hint="eastAsia" w:ascii="楷体" w:hAnsi="楷体" w:eastAsia="楷体" w:cs="楷体"/>
          <w:lang w:eastAsia="zh-CN"/>
        </w:rPr>
        <w:t>。</w:t>
      </w:r>
    </w:p>
    <w:p w14:paraId="7767B77E">
      <w:pPr>
        <w:numPr>
          <w:ilvl w:val="0"/>
          <w:numId w:val="3"/>
        </w:numPr>
        <w:adjustRightInd w:val="0"/>
        <w:snapToGrid w:val="0"/>
        <w:spacing w:line="520" w:lineRule="exact"/>
        <w:ind w:firstLine="475" w:firstLineChars="198"/>
        <w:jc w:val="both"/>
        <w:rPr>
          <w:rFonts w:ascii="楷体" w:hAnsi="楷体" w:eastAsia="楷体" w:cs="楷体"/>
        </w:rPr>
      </w:pPr>
      <w:r>
        <w:rPr>
          <w:rFonts w:hint="eastAsia" w:ascii="楷体" w:hAnsi="楷体" w:eastAsia="楷体" w:cs="楷体"/>
        </w:rPr>
        <w:t>费用的计算：依据养护的实际面积、考核情况和乙方中标时每平方米养护费用按实进行计算并形成绿化养护费用确认单。</w:t>
      </w:r>
    </w:p>
    <w:p w14:paraId="2CCBBEDB">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五、双方权利义务约定</w:t>
      </w:r>
    </w:p>
    <w:p w14:paraId="79FA8356">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（一）甲方权利与义务</w:t>
      </w:r>
    </w:p>
    <w:p w14:paraId="1A3CD8F4">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1、甲方有义务明确乙方工作责任范围。</w:t>
      </w:r>
    </w:p>
    <w:p w14:paraId="023C001B">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2、甲方有权要求乙方制定相关管理计划、管理办法及管理制度等，切实做好本项目养护管理工作。</w:t>
      </w:r>
    </w:p>
    <w:p w14:paraId="7452123E">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3、甲方可随时对乙方绿化养护管理工作进行抽查，发现问题的，有权限期要求乙方整改，乙方拒不整改的，甲方有权对乙方进行经济处罚。</w:t>
      </w:r>
    </w:p>
    <w:p w14:paraId="110A1A7C">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4、甲方负责指定专人对乙方工作进行监督和检查，及时组织验收。</w:t>
      </w:r>
    </w:p>
    <w:p w14:paraId="52DB9C79">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5、合同履行过程中，由于甲方原因导致的费用标准或人数配置情况发生变化的，甲方应据实增减相关费用，经双方协商一致后，另行签订补充协议，补充协议金额不超过原合同价款的10%。</w:t>
      </w:r>
    </w:p>
    <w:p w14:paraId="47151DA1">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6、甲方有权对乙方提交的补栽、维修清单进行审核确认。</w:t>
      </w:r>
    </w:p>
    <w:p w14:paraId="60E2055A">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7、乙方的日常养护中，未按</w:t>
      </w:r>
      <w:r>
        <w:rPr>
          <w:rFonts w:hint="eastAsia" w:ascii="楷体" w:hAnsi="楷体" w:eastAsia="楷体" w:cs="楷体"/>
          <w:lang w:val="en-US" w:eastAsia="zh-CN"/>
        </w:rPr>
        <w:t>甲方</w:t>
      </w:r>
      <w:r>
        <w:rPr>
          <w:rFonts w:hint="eastAsia" w:ascii="楷体" w:hAnsi="楷体" w:eastAsia="楷体" w:cs="楷体"/>
        </w:rPr>
        <w:t>要求施肥、除病虫害、浇水、修剪的或次数不达标的，甲方有权扣除相应的费用。</w:t>
      </w:r>
    </w:p>
    <w:p w14:paraId="7EDAA428">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（二）乙方的权利与义务</w:t>
      </w:r>
    </w:p>
    <w:p w14:paraId="2F6194F2">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1、严格落实工作要求，对问题环节要增强绿化养护管理，重点区域实行专人责任制。</w:t>
      </w:r>
    </w:p>
    <w:p w14:paraId="2E610B24">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2、乙方应按甲方要求时间和内容报送工作计划、工作总结、工作方案，以及问题整改回复等资料。</w:t>
      </w:r>
    </w:p>
    <w:p w14:paraId="4DE6B2BA">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3、乙方应按照甲方要求配合完成市级部门的各项考核指标和目标任务。</w:t>
      </w:r>
    </w:p>
    <w:p w14:paraId="0DB6C708">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4、乙方有权根据本合同制订绿化养护工作管理制度，切实加强日常管理，保证各项工作落到实处，力争日常工作符合甲方要求。</w:t>
      </w:r>
    </w:p>
    <w:p w14:paraId="1FD0C0B4">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5、如遇市上或区重大活动和庆典节日，乙方应无条件按照甲方要求，及时安排人员按时保质保量，突击加班完成绿化养护工作。</w:t>
      </w:r>
    </w:p>
    <w:p w14:paraId="52C7068A">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6、乙方应确保合同约定范围内绿化的养护工作的正常进行，确保按时完成养护绿地范围内各类苗木的修剪、清掏、补栽、浇灌、施肥、病虫害防治等工作，及时清理死苗，按照甲方要求进行补植，补种同类苗木，并加强养护管理措施，保证补植成活率不低于</w:t>
      </w:r>
      <w:r>
        <w:rPr>
          <w:rFonts w:hint="eastAsia" w:ascii="楷体" w:hAnsi="楷体" w:eastAsia="楷体" w:cs="楷体"/>
          <w:u w:val="single"/>
          <w:lang w:val="en-US" w:eastAsia="zh-CN"/>
        </w:rPr>
        <w:t xml:space="preserve">   % </w:t>
      </w:r>
      <w:r>
        <w:rPr>
          <w:rFonts w:hint="eastAsia" w:ascii="楷体" w:hAnsi="楷体" w:eastAsia="楷体" w:cs="楷体"/>
        </w:rPr>
        <w:t>。</w:t>
      </w:r>
    </w:p>
    <w:p w14:paraId="1988D629">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7、养护成活率必须达到</w:t>
      </w:r>
      <w:r>
        <w:rPr>
          <w:rFonts w:hint="eastAsia" w:ascii="楷体" w:hAnsi="楷体" w:eastAsia="楷体" w:cs="楷体"/>
          <w:u w:val="single"/>
          <w:lang w:val="en-US" w:eastAsia="zh-CN"/>
        </w:rPr>
        <w:t xml:space="preserve">   </w:t>
      </w:r>
      <w:r>
        <w:rPr>
          <w:rFonts w:hint="eastAsia" w:ascii="楷体" w:hAnsi="楷体" w:eastAsia="楷体" w:cs="楷体"/>
        </w:rPr>
        <w:t>%以上，达不到此项标准的由乙方自行进行补栽。</w:t>
      </w:r>
    </w:p>
    <w:p w14:paraId="639CDC57">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8、甲方明确养护工作范围及养护工作标准，以确保养护工作的正常开展，同时对于本合同约定乙方养护范围外的工作内容，或已移交区域并非乙方养护范围的，甲方应提前书面告知乙方，如需要求提供养护工作的，乙方有权要求甲方以派工单的形式书面委派并由甲方承担相应费用。</w:t>
      </w:r>
    </w:p>
    <w:p w14:paraId="09857497">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9、乙方应按照市、区安全生产管理要求，履行安全生产主体责任，确保全年无安全事故。</w:t>
      </w:r>
    </w:p>
    <w:p w14:paraId="25F21A7F">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10、因树木倾倒、折断、路面湿滑等可归于乙方管护原因损害第三人人身、财产安全的，由乙方承担相应民事责任，甲方不承担责任。</w:t>
      </w:r>
    </w:p>
    <w:p w14:paraId="3101B2B2">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11、乙方应提供补栽、维修计划，待甲方确认后及时实施。</w:t>
      </w:r>
    </w:p>
    <w:p w14:paraId="72314AE8">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12、移栽死亡的树木，由乙方赔偿一棵相同品类的树，规格由甲方确定，甲方根据实际情况确定移栽品类。</w:t>
      </w:r>
    </w:p>
    <w:p w14:paraId="42653CC8">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六、验收考核</w:t>
      </w:r>
    </w:p>
    <w:p w14:paraId="4AC3EA55">
      <w:pPr>
        <w:widowControl w:val="0"/>
        <w:adjustRightInd w:val="0"/>
        <w:snapToGrid w:val="0"/>
        <w:spacing w:line="520" w:lineRule="exact"/>
        <w:jc w:val="both"/>
        <w:rPr>
          <w:rFonts w:ascii="楷体" w:hAnsi="楷体" w:eastAsia="楷体" w:cs="楷体"/>
          <w:bCs/>
        </w:rPr>
      </w:pPr>
      <w:r>
        <w:rPr>
          <w:rFonts w:hint="eastAsia" w:ascii="楷体" w:hAnsi="楷体" w:eastAsia="楷体" w:cs="楷体"/>
          <w:bCs/>
        </w:rPr>
        <w:t xml:space="preserve">     1、甲方根据本合同第三条约定的质量标准进行验收，验收存在问题的，有权要求乙方限期整改，乙方验收依旧不合格的，甲方有权拒绝验收。</w:t>
      </w:r>
    </w:p>
    <w:p w14:paraId="19B4B789">
      <w:pPr>
        <w:widowControl w:val="0"/>
        <w:adjustRightInd w:val="0"/>
        <w:snapToGrid w:val="0"/>
        <w:spacing w:line="520" w:lineRule="exact"/>
        <w:ind w:firstLine="480" w:firstLineChars="200"/>
        <w:jc w:val="both"/>
        <w:rPr>
          <w:rFonts w:hint="eastAsia" w:ascii="楷体" w:hAnsi="楷体" w:eastAsia="楷体" w:cs="楷体"/>
          <w:lang w:eastAsia="zh-CN"/>
        </w:rPr>
      </w:pPr>
      <w:r>
        <w:rPr>
          <w:rFonts w:hint="eastAsia" w:ascii="楷体" w:hAnsi="楷体" w:eastAsia="楷体" w:cs="楷体"/>
        </w:rPr>
        <w:t>2、本合同期限内，甲方对乙方实施考核。甲方按照考核标准每月向乙方出具检查通报，并按相关考核处罚标准进行处罚，处罚费用从用季度结算中扣除。</w:t>
      </w:r>
      <w:r>
        <w:rPr>
          <w:rFonts w:hint="eastAsia" w:ascii="楷体" w:hAnsi="楷体" w:eastAsia="楷体" w:cs="楷体"/>
        </w:rPr>
        <w:tab/>
      </w:r>
      <w:r>
        <w:rPr>
          <w:rFonts w:hint="eastAsia" w:ascii="楷体" w:hAnsi="楷体" w:eastAsia="楷体" w:cs="楷体"/>
        </w:rPr>
        <w:t>3、考核措施：乙方工作任务未完成的，有权按照一定比例扣除季度绿化养护管理费用工作考核</w:t>
      </w:r>
      <w:r>
        <w:rPr>
          <w:rFonts w:hint="eastAsia" w:ascii="楷体" w:hAnsi="楷体" w:eastAsia="楷体" w:cs="楷体"/>
          <w:lang w:eastAsia="zh-CN"/>
        </w:rPr>
        <w:t>。</w:t>
      </w:r>
    </w:p>
    <w:p w14:paraId="06642410">
      <w:pPr>
        <w:widowControl w:val="0"/>
        <w:adjustRightInd w:val="0"/>
        <w:snapToGrid w:val="0"/>
        <w:spacing w:line="500" w:lineRule="exact"/>
        <w:ind w:firstLine="480" w:firstLineChars="200"/>
        <w:jc w:val="both"/>
        <w:rPr>
          <w:rFonts w:ascii="楷体" w:hAnsi="楷体" w:eastAsia="楷体" w:cs="楷体"/>
        </w:rPr>
      </w:pPr>
      <w:r>
        <w:rPr>
          <w:rFonts w:hint="eastAsia" w:ascii="楷体" w:hAnsi="楷体" w:eastAsia="楷体" w:cs="楷体"/>
        </w:rPr>
        <w:t>（</w:t>
      </w:r>
      <w:r>
        <w:rPr>
          <w:rFonts w:hint="eastAsia" w:ascii="楷体" w:hAnsi="楷体" w:eastAsia="楷体" w:cs="楷体"/>
          <w:lang w:val="en-US" w:eastAsia="zh-CN"/>
        </w:rPr>
        <w:t>1</w:t>
      </w:r>
      <w:r>
        <w:rPr>
          <w:rFonts w:hint="eastAsia" w:ascii="楷体" w:hAnsi="楷体" w:eastAsia="楷体" w:cs="楷体"/>
        </w:rPr>
        <w:t>）合同期限内，每发生一起安全事故，乙方承担安全事故的全部责任，甲方视情况扣除本季度结算费用的</w:t>
      </w:r>
      <w:r>
        <w:rPr>
          <w:rFonts w:hint="eastAsia" w:ascii="楷体" w:hAnsi="楷体" w:eastAsia="楷体" w:cs="楷体"/>
          <w:u w:val="single"/>
          <w:lang w:val="en-US" w:eastAsia="zh-CN"/>
        </w:rPr>
        <w:t xml:space="preserve">   </w:t>
      </w:r>
      <w:r>
        <w:rPr>
          <w:rFonts w:hint="eastAsia" w:ascii="楷体" w:hAnsi="楷体" w:eastAsia="楷体" w:cs="楷体"/>
        </w:rPr>
        <w:t>%作为违约金，并有权解除合同。</w:t>
      </w:r>
    </w:p>
    <w:p w14:paraId="03CF305D">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4、乙方应认真按照园林绿化行业的标准、规范、本合同的要求以及甲方代表人依据本合同发出的指令进行养护，随时接受甲方的检查和考核，为检查、考核提供便利条件。</w:t>
      </w:r>
    </w:p>
    <w:p w14:paraId="4E2F2852">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5、项目履行期间由甲方按照乙方投标方案人数进行不定期不定时检查乙方养护工作。如发现乙方养护人员不足，甲方有权对乙方进行处罚，处罚方式按每人次</w:t>
      </w:r>
      <w:r>
        <w:rPr>
          <w:rFonts w:hint="eastAsia" w:ascii="楷体" w:hAnsi="楷体" w:eastAsia="楷体" w:cs="楷体"/>
          <w:u w:val="single"/>
          <w:lang w:val="en-US" w:eastAsia="zh-CN"/>
        </w:rPr>
        <w:t xml:space="preserve">    </w:t>
      </w:r>
      <w:r>
        <w:rPr>
          <w:rFonts w:hint="eastAsia" w:ascii="楷体" w:hAnsi="楷体" w:eastAsia="楷体" w:cs="楷体"/>
        </w:rPr>
        <w:t>元标准；一个月内发现乙方主要人员（项目总负责人、技术负责人、绿化养护人员等）不在岗，甲方有权对乙方按每次</w:t>
      </w:r>
      <w:r>
        <w:rPr>
          <w:rFonts w:hint="eastAsia" w:ascii="楷体" w:hAnsi="楷体" w:eastAsia="楷体" w:cs="楷体"/>
          <w:u w:val="single"/>
          <w:lang w:val="en-US" w:eastAsia="zh-CN"/>
        </w:rPr>
        <w:t xml:space="preserve">     </w:t>
      </w:r>
      <w:r>
        <w:rPr>
          <w:rFonts w:hint="eastAsia" w:ascii="楷体" w:hAnsi="楷体" w:eastAsia="楷体" w:cs="楷体"/>
        </w:rPr>
        <w:t>元标准进行处罚，连续发现三次不在岗，甲方有权单方面解除合同，一切后果由乙方承担。上级检查时乙方工作人员脱岗、被领导批评，造成不良影响的，甲方有权对乙方进行处罚，处罚方式按每次</w:t>
      </w:r>
      <w:r>
        <w:rPr>
          <w:rFonts w:hint="eastAsia" w:ascii="楷体" w:hAnsi="楷体" w:eastAsia="楷体" w:cs="楷体"/>
          <w:u w:val="single"/>
          <w:lang w:val="en-US" w:eastAsia="zh-CN"/>
        </w:rPr>
        <w:t xml:space="preserve">      </w:t>
      </w:r>
      <w:r>
        <w:rPr>
          <w:rFonts w:hint="eastAsia" w:ascii="楷体" w:hAnsi="楷体" w:eastAsia="楷体" w:cs="楷体"/>
        </w:rPr>
        <w:t>元标准；上级检查时乙方工作人员脱岗两次，被上级通报批评或被媒体曝光，甲方有权单方面解除合同，一切后果由中标人承担。</w:t>
      </w:r>
    </w:p>
    <w:p w14:paraId="328E90F6">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6、验收依据：</w:t>
      </w:r>
    </w:p>
    <w:p w14:paraId="603A5528">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（1）招标文件、投标文件、澄清表（函）；</w:t>
      </w:r>
    </w:p>
    <w:p w14:paraId="0C52F6BF">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（2）本合同及附件文本；</w:t>
      </w:r>
    </w:p>
    <w:p w14:paraId="179AE2EB">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（3）国家相应的标准、规范。</w:t>
      </w:r>
    </w:p>
    <w:p w14:paraId="2E24EB5D">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七、违约责任</w:t>
      </w:r>
    </w:p>
    <w:p w14:paraId="1A9F0C85">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甲方每</w:t>
      </w:r>
      <w:r>
        <w:rPr>
          <w:rFonts w:hint="eastAsia" w:ascii="楷体" w:hAnsi="楷体" w:eastAsia="楷体" w:cs="楷体"/>
          <w:u w:val="single"/>
          <w:lang w:val="en-US" w:eastAsia="zh-CN"/>
        </w:rPr>
        <w:t xml:space="preserve">   </w:t>
      </w:r>
      <w:r>
        <w:rPr>
          <w:rFonts w:hint="eastAsia" w:ascii="楷体" w:hAnsi="楷体" w:eastAsia="楷体" w:cs="楷体"/>
        </w:rPr>
        <w:t>对合同约定事项进行考核，乙方未按合同约定导致绿化养护工作不达标，甲方有权对乙方进行处罚，处罚费用为甲方按照考核管理办法计算；甲方累计处罚罚款总额不能弥补其经济损失的，乙方应继续承担赔偿责任。</w:t>
      </w:r>
    </w:p>
    <w:p w14:paraId="531748AC">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八、合同解除条款</w:t>
      </w:r>
    </w:p>
    <w:p w14:paraId="40BEB1DF">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1、乙方因处罚收到甲方《单方解除合同通知书》后，本合同自动解除。甲方按照合同约定根据乙方实际工作情况据实结算并支付相应费用。</w:t>
      </w:r>
    </w:p>
    <w:p w14:paraId="32091079">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2、合同期限内，乙方的违约行为导致本合同解除，给甲方造成经济损失的，乙方应按照合同约定年度费用的</w:t>
      </w:r>
      <w:r>
        <w:rPr>
          <w:rFonts w:hint="eastAsia" w:ascii="楷体" w:hAnsi="楷体" w:eastAsia="楷体" w:cs="楷体"/>
          <w:u w:val="single"/>
          <w:lang w:val="en-US" w:eastAsia="zh-CN"/>
        </w:rPr>
        <w:t xml:space="preserve">   </w:t>
      </w:r>
      <w:r>
        <w:rPr>
          <w:rFonts w:hint="eastAsia" w:ascii="楷体" w:hAnsi="楷体" w:eastAsia="楷体" w:cs="楷体"/>
        </w:rPr>
        <w:t>%向甲方支付违约金，并赔偿由此造成的经济损失，赔偿范围包括但不限于诉讼费、鉴定费、执行费、律师服务费，以及甲方在维权过程中所产生的交通食宿费等合理的经济损失。</w:t>
      </w:r>
    </w:p>
    <w:p w14:paraId="0A49C1BC">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3、因乙方违约或不可抗力导致本合同不能继续履行，甲方有权解除合同，并应在上述事项发生后三十天内书面通知对方，本合同在解除通知送达对方的同时自行解除。</w:t>
      </w:r>
    </w:p>
    <w:p w14:paraId="0C5D6083">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4、本合同前两个月为服务考核期，考核期间由甲方组成考核小组对乙方服务表现进行综合评分，评分低于</w:t>
      </w:r>
      <w:r>
        <w:rPr>
          <w:rFonts w:hint="eastAsia" w:ascii="楷体" w:hAnsi="楷体" w:eastAsia="楷体" w:cs="楷体"/>
          <w:u w:val="single"/>
          <w:lang w:val="en-US" w:eastAsia="zh-CN"/>
        </w:rPr>
        <w:t xml:space="preserve">    </w:t>
      </w:r>
      <w:r>
        <w:rPr>
          <w:rFonts w:hint="eastAsia" w:ascii="楷体" w:hAnsi="楷体" w:eastAsia="楷体" w:cs="楷体"/>
        </w:rPr>
        <w:t>分，甲方有权解除合同，期间产生费用按照实际服务天数进行结算，本合同在解除通知送达对方的同时自行解除。</w:t>
      </w:r>
    </w:p>
    <w:p w14:paraId="687B9E47">
      <w:pPr>
        <w:widowControl w:val="0"/>
        <w:adjustRightInd w:val="0"/>
        <w:snapToGrid w:val="0"/>
        <w:spacing w:line="520" w:lineRule="exact"/>
        <w:ind w:firstLine="482" w:firstLineChars="200"/>
        <w:jc w:val="both"/>
        <w:rPr>
          <w:rFonts w:ascii="楷体" w:hAnsi="楷体" w:eastAsia="楷体" w:cs="楷体"/>
          <w:b/>
          <w:bCs/>
        </w:rPr>
      </w:pPr>
      <w:r>
        <w:rPr>
          <w:rFonts w:hint="eastAsia" w:ascii="楷体" w:hAnsi="楷体" w:eastAsia="楷体" w:cs="楷体"/>
          <w:b/>
          <w:bCs/>
        </w:rPr>
        <w:t>九、争议解决条款</w:t>
      </w:r>
    </w:p>
    <w:p w14:paraId="66F0F370">
      <w:pPr>
        <w:widowControl w:val="0"/>
        <w:adjustRightInd w:val="0"/>
        <w:snapToGrid w:val="0"/>
        <w:spacing w:line="520" w:lineRule="exact"/>
        <w:ind w:firstLine="480" w:firstLineChars="200"/>
        <w:jc w:val="both"/>
        <w:rPr>
          <w:rFonts w:ascii="楷体" w:hAnsi="楷体" w:eastAsia="楷体" w:cs="楷体"/>
          <w:bCs/>
        </w:rPr>
      </w:pPr>
      <w:r>
        <w:rPr>
          <w:rFonts w:hint="eastAsia" w:ascii="楷体" w:hAnsi="楷体" w:eastAsia="楷体" w:cs="楷体"/>
          <w:bCs/>
        </w:rPr>
        <w:t>（一）本合同履行过程中发生争议的，双方应友好协商解决，协商不成的，任何一方均有权向合同履行地（采购人所在地）有管辖权的人民法院起诉。</w:t>
      </w:r>
    </w:p>
    <w:p w14:paraId="05EBBA5F">
      <w:pPr>
        <w:widowControl w:val="0"/>
        <w:adjustRightInd w:val="0"/>
        <w:snapToGrid w:val="0"/>
        <w:spacing w:line="520" w:lineRule="exact"/>
        <w:ind w:firstLine="480" w:firstLineChars="200"/>
        <w:jc w:val="both"/>
        <w:rPr>
          <w:rFonts w:ascii="楷体" w:hAnsi="楷体" w:eastAsia="楷体" w:cs="楷体"/>
          <w:bCs/>
        </w:rPr>
      </w:pPr>
      <w:r>
        <w:rPr>
          <w:rFonts w:hint="eastAsia" w:ascii="楷体" w:hAnsi="楷体" w:eastAsia="楷体" w:cs="楷体"/>
          <w:bCs/>
        </w:rPr>
        <w:t>（二）本条款为独立条款，本合同的无效、变更、解除和终止均不影响本条款的效力。</w:t>
      </w:r>
    </w:p>
    <w:p w14:paraId="5BF6A421">
      <w:pPr>
        <w:widowControl w:val="0"/>
        <w:spacing w:line="360" w:lineRule="auto"/>
        <w:ind w:firstLine="482" w:firstLineChars="200"/>
        <w:jc w:val="both"/>
        <w:rPr>
          <w:rFonts w:ascii="楷体" w:hAnsi="楷体" w:eastAsia="楷体" w:cs="楷体"/>
          <w:b/>
          <w:bCs/>
          <w:lang w:val="zh-TW" w:eastAsia="zh-TW" w:bidi="zh-TW"/>
        </w:rPr>
      </w:pPr>
      <w:r>
        <w:rPr>
          <w:rFonts w:hint="eastAsia" w:ascii="楷体" w:hAnsi="楷体" w:eastAsia="楷体" w:cs="楷体"/>
          <w:b/>
          <w:bCs/>
          <w:lang w:val="zh-TW" w:eastAsia="zh-TW" w:bidi="zh-TW"/>
        </w:rPr>
        <w:t>十、合同变更</w:t>
      </w:r>
    </w:p>
    <w:p w14:paraId="0E4AFD44">
      <w:pPr>
        <w:widowControl w:val="0"/>
        <w:spacing w:line="360" w:lineRule="auto"/>
        <w:ind w:firstLine="480" w:firstLineChars="200"/>
        <w:jc w:val="both"/>
        <w:rPr>
          <w:rFonts w:ascii="楷体" w:hAnsi="楷体" w:eastAsia="楷体" w:cs="楷体"/>
          <w:lang w:val="zh-TW" w:eastAsia="zh-TW" w:bidi="zh-TW"/>
        </w:rPr>
      </w:pPr>
      <w:r>
        <w:rPr>
          <w:rFonts w:hint="eastAsia" w:ascii="楷体" w:hAnsi="楷体" w:eastAsia="楷体" w:cs="楷体"/>
          <w:lang w:val="zh-TW" w:eastAsia="zh-TW" w:bidi="zh-TW"/>
        </w:rPr>
        <w:t>在合同的执行期内，双方均不得随意变更或解除合同。如因项目</w:t>
      </w:r>
      <w:r>
        <w:rPr>
          <w:rFonts w:hint="eastAsia" w:ascii="楷体" w:hAnsi="楷体" w:eastAsia="楷体" w:cs="楷体"/>
          <w:lang w:bidi="zh-TW"/>
        </w:rPr>
        <w:t>需求</w:t>
      </w:r>
      <w:r>
        <w:rPr>
          <w:rFonts w:hint="eastAsia" w:ascii="楷体" w:hAnsi="楷体" w:eastAsia="楷体" w:cs="楷体"/>
          <w:lang w:val="zh-TW" w:eastAsia="zh-TW" w:bidi="zh-TW"/>
        </w:rPr>
        <w:t>情况发生变化，需要项目变更的，应双方协商后签订项目变更协议，</w:t>
      </w:r>
      <w:r>
        <w:rPr>
          <w:rFonts w:hint="eastAsia" w:ascii="楷体" w:hAnsi="楷体" w:eastAsia="楷体" w:cs="楷体"/>
          <w:lang w:bidi="zh-TW"/>
        </w:rPr>
        <w:t>并经</w:t>
      </w:r>
      <w:r>
        <w:rPr>
          <w:rFonts w:hint="eastAsia" w:ascii="楷体" w:hAnsi="楷体" w:eastAsia="楷体" w:cs="楷体"/>
          <w:lang w:val="zh-TW" w:eastAsia="zh-TW" w:bidi="zh-TW"/>
        </w:rPr>
        <w:t>鉴证方确认后生效（如双方变更事项不能达成一致的，仍按原合同履</w:t>
      </w:r>
      <w:r>
        <w:rPr>
          <w:rFonts w:hint="eastAsia" w:ascii="楷体" w:hAnsi="楷体" w:eastAsia="楷体" w:cs="楷体"/>
          <w:lang w:bidi="zh-TW"/>
        </w:rPr>
        <w:t>行，</w:t>
      </w:r>
      <w:r>
        <w:rPr>
          <w:rFonts w:hint="eastAsia" w:ascii="楷体" w:hAnsi="楷体" w:eastAsia="楷体" w:cs="楷体"/>
          <w:lang w:val="zh-TW" w:eastAsia="zh-TW" w:bidi="zh-TW"/>
        </w:rPr>
        <w:t>否则视为违约）。</w:t>
      </w:r>
    </w:p>
    <w:p w14:paraId="057B35D0">
      <w:pPr>
        <w:widowControl w:val="0"/>
        <w:spacing w:line="360" w:lineRule="auto"/>
        <w:ind w:firstLine="482" w:firstLineChars="200"/>
        <w:jc w:val="both"/>
        <w:rPr>
          <w:rFonts w:ascii="楷体" w:hAnsi="楷体" w:eastAsia="楷体" w:cs="楷体"/>
          <w:b/>
          <w:bCs/>
          <w:lang w:val="zh-TW" w:eastAsia="zh-TW" w:bidi="zh-TW"/>
        </w:rPr>
      </w:pPr>
      <w:r>
        <w:rPr>
          <w:rFonts w:hint="eastAsia" w:ascii="楷体" w:hAnsi="楷体" w:eastAsia="楷体" w:cs="楷体"/>
          <w:b/>
          <w:bCs/>
          <w:lang w:val="zh-TW" w:eastAsia="zh-TW" w:bidi="zh-TW"/>
        </w:rPr>
        <w:t>十</w:t>
      </w:r>
      <w:r>
        <w:rPr>
          <w:rFonts w:hint="eastAsia" w:ascii="楷体" w:hAnsi="楷体" w:eastAsia="楷体" w:cs="楷体"/>
          <w:b/>
          <w:bCs/>
          <w:lang w:bidi="zh-TW"/>
        </w:rPr>
        <w:t>一</w:t>
      </w:r>
      <w:r>
        <w:rPr>
          <w:rFonts w:hint="eastAsia" w:ascii="楷体" w:hAnsi="楷体" w:eastAsia="楷体" w:cs="楷体"/>
          <w:b/>
          <w:bCs/>
          <w:lang w:val="zh-TW" w:eastAsia="zh-TW" w:bidi="zh-TW"/>
        </w:rPr>
        <w:t>、合同生效</w:t>
      </w:r>
    </w:p>
    <w:p w14:paraId="61976EAB">
      <w:pPr>
        <w:widowControl w:val="0"/>
        <w:spacing w:after="100" w:line="360" w:lineRule="auto"/>
        <w:ind w:firstLine="480" w:firstLineChars="200"/>
        <w:jc w:val="both"/>
        <w:rPr>
          <w:rFonts w:ascii="楷体" w:hAnsi="楷体" w:eastAsia="楷体" w:cs="楷体"/>
          <w:lang w:val="zh-TW" w:eastAsia="zh-TW" w:bidi="zh-TW"/>
        </w:rPr>
      </w:pPr>
      <w:r>
        <w:rPr>
          <w:rFonts w:hint="eastAsia" w:ascii="楷体" w:hAnsi="楷体" w:eastAsia="楷体" w:cs="楷体"/>
          <w:lang w:bidi="zh-TW"/>
        </w:rPr>
        <w:t>1、</w:t>
      </w:r>
      <w:r>
        <w:rPr>
          <w:rFonts w:hint="eastAsia" w:ascii="楷体" w:hAnsi="楷体" w:eastAsia="楷体" w:cs="楷体"/>
          <w:lang w:val="zh-TW" w:eastAsia="zh-TW" w:bidi="zh-TW"/>
        </w:rPr>
        <w:t>本合同一式</w:t>
      </w:r>
      <w:r>
        <w:rPr>
          <w:rFonts w:hint="eastAsia" w:ascii="楷体" w:hAnsi="楷体" w:eastAsia="楷体" w:cs="楷体"/>
          <w:u w:val="single"/>
          <w:lang w:val="en-US" w:eastAsia="zh-CN" w:bidi="zh-TW"/>
        </w:rPr>
        <w:t xml:space="preserve">   </w:t>
      </w:r>
      <w:r>
        <w:rPr>
          <w:rFonts w:hint="eastAsia" w:ascii="楷体" w:hAnsi="楷体" w:eastAsia="楷体" w:cs="楷体"/>
          <w:lang w:val="zh-TW" w:eastAsia="zh-TW" w:bidi="zh-TW"/>
        </w:rPr>
        <w:t>份,甲方持</w:t>
      </w:r>
      <w:r>
        <w:rPr>
          <w:rFonts w:hint="eastAsia" w:ascii="楷体" w:hAnsi="楷体" w:eastAsia="楷体" w:cs="楷体"/>
          <w:u w:val="single"/>
          <w:lang w:val="en-US" w:eastAsia="zh-CN" w:bidi="zh-TW"/>
        </w:rPr>
        <w:t xml:space="preserve">  </w:t>
      </w:r>
      <w:r>
        <w:rPr>
          <w:rFonts w:hint="eastAsia" w:ascii="楷体" w:hAnsi="楷体" w:eastAsia="楷体" w:cs="楷体"/>
          <w:lang w:val="zh-TW" w:eastAsia="zh-TW" w:bidi="zh-TW"/>
        </w:rPr>
        <w:t>份，乙方持</w:t>
      </w:r>
      <w:r>
        <w:rPr>
          <w:rFonts w:hint="eastAsia" w:ascii="楷体" w:hAnsi="楷体" w:eastAsia="楷体" w:cs="楷体"/>
          <w:u w:val="single"/>
          <w:lang w:val="en-US" w:eastAsia="zh-CN" w:bidi="zh-TW"/>
        </w:rPr>
        <w:t xml:space="preserve">  </w:t>
      </w:r>
      <w:r>
        <w:rPr>
          <w:rFonts w:hint="eastAsia" w:ascii="楷体" w:hAnsi="楷体" w:eastAsia="楷体" w:cs="楷体"/>
          <w:lang w:val="zh-TW" w:eastAsia="zh-TW" w:bidi="zh-TW"/>
        </w:rPr>
        <w:t>份,本合同甲、乙</w:t>
      </w:r>
      <w:r>
        <w:rPr>
          <w:rFonts w:hint="eastAsia" w:ascii="楷体" w:hAnsi="楷体" w:eastAsia="楷体" w:cs="楷体"/>
          <w:lang w:val="en-US" w:eastAsia="zh-CN" w:bidi="zh-TW"/>
        </w:rPr>
        <w:t>双</w:t>
      </w:r>
      <w:r>
        <w:rPr>
          <w:rFonts w:hint="eastAsia" w:ascii="楷体" w:hAnsi="楷体" w:eastAsia="楷体" w:cs="楷体"/>
          <w:lang w:val="zh-TW" w:eastAsia="zh-TW" w:bidi="zh-TW"/>
        </w:rPr>
        <w:t>方签字并盖章后生效，</w:t>
      </w:r>
      <w:r>
        <w:rPr>
          <w:rFonts w:hint="eastAsia" w:ascii="楷体" w:hAnsi="楷体" w:eastAsia="楷体" w:cs="楷体"/>
          <w:lang w:bidi="zh-TW"/>
        </w:rPr>
        <w:t>合同执行完毕后，自动</w:t>
      </w:r>
      <w:r>
        <w:rPr>
          <w:rFonts w:hint="eastAsia" w:ascii="楷体" w:hAnsi="楷体" w:eastAsia="楷体" w:cs="楷体"/>
          <w:lang w:val="zh-TW" w:eastAsia="zh-TW" w:bidi="zh-TW"/>
        </w:rPr>
        <w:t>失效（合同的服务承诺则长期有效）。</w:t>
      </w:r>
    </w:p>
    <w:p w14:paraId="7AA3B8F4">
      <w:pPr>
        <w:widowControl w:val="0"/>
        <w:adjustRightInd w:val="0"/>
        <w:snapToGrid w:val="0"/>
        <w:spacing w:line="520" w:lineRule="exact"/>
        <w:ind w:firstLine="482" w:firstLineChars="200"/>
        <w:jc w:val="both"/>
        <w:rPr>
          <w:rFonts w:ascii="楷体" w:hAnsi="楷体" w:eastAsia="楷体" w:cs="楷体"/>
          <w:b/>
        </w:rPr>
      </w:pPr>
      <w:r>
        <w:rPr>
          <w:rFonts w:hint="eastAsia" w:ascii="楷体" w:hAnsi="楷体" w:eastAsia="楷体" w:cs="楷体"/>
          <w:b/>
        </w:rPr>
        <w:t>十二、其他条款</w:t>
      </w:r>
    </w:p>
    <w:p w14:paraId="6A5A58D3">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（一）</w:t>
      </w:r>
      <w:r>
        <w:rPr>
          <w:rFonts w:hint="eastAsia" w:ascii="楷体" w:hAnsi="楷体" w:eastAsia="楷体" w:cs="楷体"/>
          <w:lang w:val="en-US" w:eastAsia="zh-CN"/>
        </w:rPr>
        <w:t>甲方</w:t>
      </w:r>
      <w:r>
        <w:rPr>
          <w:rFonts w:hint="eastAsia" w:ascii="楷体" w:hAnsi="楷体" w:eastAsia="楷体" w:cs="楷体"/>
        </w:rPr>
        <w:t>在合同的履行期间以及履行期后，可以随时检查项目的执行情况，对采购标准、釆购内容进行调查核实，并对发现的问题进行处理。</w:t>
      </w:r>
    </w:p>
    <w:p w14:paraId="2C90C73E">
      <w:pPr>
        <w:widowControl w:val="0"/>
        <w:adjustRightInd w:val="0"/>
        <w:snapToGrid w:val="0"/>
        <w:spacing w:line="520" w:lineRule="exact"/>
        <w:ind w:firstLine="480" w:firstLineChars="200"/>
        <w:jc w:val="both"/>
        <w:rPr>
          <w:rFonts w:ascii="楷体" w:hAnsi="楷体" w:eastAsia="楷体" w:cs="楷体"/>
        </w:rPr>
      </w:pPr>
      <w:r>
        <w:rPr>
          <w:rFonts w:hint="eastAsia" w:ascii="楷体" w:hAnsi="楷体" w:eastAsia="楷体" w:cs="楷体"/>
        </w:rPr>
        <w:t>（</w:t>
      </w:r>
      <w:r>
        <w:rPr>
          <w:rFonts w:hint="eastAsia" w:ascii="楷体" w:hAnsi="楷体" w:eastAsia="楷体" w:cs="楷体"/>
          <w:lang w:val="en-US" w:eastAsia="zh-CN"/>
        </w:rPr>
        <w:t>二</w:t>
      </w:r>
      <w:r>
        <w:rPr>
          <w:rFonts w:hint="eastAsia" w:ascii="楷体" w:hAnsi="楷体" w:eastAsia="楷体" w:cs="楷体"/>
        </w:rPr>
        <w:t>）本采购项目的招标文件、乙方的投标文件以及相关的澄清、修改等（如果有的话）均为本合同不可分割的一部分，与本合同具有同等法律效力，本合同未尽事宜详见招标文件，若招标文件也未涉及的，由甲乙双方另行签订补充协议。</w:t>
      </w:r>
    </w:p>
    <w:p w14:paraId="2E341D4B">
      <w:pPr>
        <w:widowControl w:val="0"/>
        <w:spacing w:line="360" w:lineRule="auto"/>
        <w:ind w:firstLine="480" w:firstLineChars="200"/>
        <w:jc w:val="both"/>
        <w:rPr>
          <w:rFonts w:ascii="楷体" w:hAnsi="楷体" w:eastAsia="楷体" w:cs="楷体"/>
          <w:lang w:val="zh-TW" w:eastAsia="zh-TW" w:bidi="zh-TW"/>
        </w:rPr>
      </w:pPr>
      <w:r>
        <w:rPr>
          <w:rFonts w:hint="eastAsia" w:ascii="楷体" w:hAnsi="楷体" w:eastAsia="楷体" w:cs="楷体"/>
          <w:lang w:val="zh-TW" w:bidi="zh-TW"/>
        </w:rPr>
        <w:t>（</w:t>
      </w:r>
      <w:r>
        <w:rPr>
          <w:rFonts w:hint="eastAsia" w:ascii="楷体" w:hAnsi="楷体" w:eastAsia="楷体" w:cs="楷体"/>
          <w:lang w:val="en-US" w:eastAsia="zh-CN" w:bidi="zh-TW"/>
        </w:rPr>
        <w:t>三</w:t>
      </w:r>
      <w:r>
        <w:rPr>
          <w:rFonts w:hint="eastAsia" w:ascii="楷体" w:hAnsi="楷体" w:eastAsia="楷体" w:cs="楷体"/>
          <w:lang w:val="zh-TW" w:bidi="zh-TW"/>
        </w:rPr>
        <w:t>）</w:t>
      </w:r>
      <w:r>
        <w:rPr>
          <w:rFonts w:hint="eastAsia" w:ascii="楷体" w:hAnsi="楷体" w:eastAsia="楷体" w:cs="楷体"/>
          <w:lang w:bidi="zh-TW"/>
        </w:rPr>
        <w:t>甲乙</w:t>
      </w:r>
      <w:r>
        <w:rPr>
          <w:rFonts w:hint="eastAsia" w:ascii="楷体" w:hAnsi="楷体" w:eastAsia="楷体" w:cs="楷体"/>
          <w:lang w:val="zh-TW" w:eastAsia="zh-TW" w:bidi="zh-TW"/>
        </w:rPr>
        <w:t>双方因不可抗力导致本合同全部或部分不能履行时，发生</w:t>
      </w:r>
      <w:r>
        <w:rPr>
          <w:rFonts w:hint="eastAsia" w:ascii="楷体" w:hAnsi="楷体" w:eastAsia="楷体" w:cs="楷体"/>
          <w:lang w:bidi="zh-TW"/>
        </w:rPr>
        <w:t>不可抗力的一方应当</w:t>
      </w:r>
      <w:r>
        <w:rPr>
          <w:rFonts w:hint="eastAsia" w:ascii="楷体" w:hAnsi="楷体" w:eastAsia="楷体" w:cs="楷体"/>
          <w:lang w:val="zh-TW" w:eastAsia="zh-TW" w:bidi="zh-TW"/>
        </w:rPr>
        <w:t>在不可抗力发生后天内书面通知对方，以减轻</w:t>
      </w:r>
      <w:r>
        <w:rPr>
          <w:rFonts w:hint="eastAsia" w:ascii="楷体" w:hAnsi="楷体" w:eastAsia="楷体" w:cs="楷体"/>
          <w:lang w:bidi="zh-TW"/>
        </w:rPr>
        <w:t>可能给对方造成的损失</w:t>
      </w:r>
      <w:r>
        <w:rPr>
          <w:rFonts w:hint="eastAsia" w:ascii="楷体" w:hAnsi="楷体" w:eastAsia="楷体" w:cs="楷体"/>
          <w:lang w:val="zh-TW" w:eastAsia="zh-TW" w:bidi="zh-TW"/>
        </w:rPr>
        <w:t>。因不可抗力导致本合同全部或部分不能履行时，</w:t>
      </w:r>
      <w:r>
        <w:rPr>
          <w:rFonts w:hint="eastAsia" w:ascii="楷体" w:hAnsi="楷体" w:eastAsia="楷体" w:cs="楷体"/>
          <w:lang w:bidi="zh-TW"/>
        </w:rPr>
        <w:t>双方各自承担其因此而造成的损失</w:t>
      </w:r>
      <w:r>
        <w:rPr>
          <w:rFonts w:hint="eastAsia" w:ascii="楷体" w:hAnsi="楷体" w:eastAsia="楷体" w:cs="楷体"/>
          <w:lang w:val="zh-TW" w:eastAsia="zh-TW" w:bidi="zh-TW"/>
        </w:rPr>
        <w:t>、损害。</w:t>
      </w:r>
    </w:p>
    <w:p w14:paraId="3BA4BEA8">
      <w:pPr>
        <w:widowControl w:val="0"/>
        <w:ind w:firstLine="480" w:firstLineChars="200"/>
        <w:jc w:val="both"/>
        <w:rPr>
          <w:rFonts w:ascii="楷体" w:hAnsi="楷体" w:eastAsia="楷体" w:cs="楷体"/>
        </w:rPr>
      </w:pPr>
      <w:r>
        <w:rPr>
          <w:rFonts w:hint="eastAsia" w:ascii="楷体" w:hAnsi="楷体" w:eastAsia="楷体" w:cs="楷体"/>
          <w:lang w:val="zh-TW" w:bidi="zh-TW"/>
        </w:rPr>
        <w:t>（</w:t>
      </w:r>
      <w:r>
        <w:rPr>
          <w:rFonts w:hint="eastAsia" w:ascii="楷体" w:hAnsi="楷体" w:eastAsia="楷体" w:cs="楷体"/>
          <w:lang w:val="en-US" w:eastAsia="zh-CN" w:bidi="zh-TW"/>
        </w:rPr>
        <w:t>四</w:t>
      </w:r>
      <w:r>
        <w:rPr>
          <w:rFonts w:hint="eastAsia" w:ascii="楷体" w:hAnsi="楷体" w:eastAsia="楷体" w:cs="楷体"/>
          <w:lang w:val="zh-TW" w:bidi="zh-TW"/>
        </w:rPr>
        <w:t>）</w:t>
      </w:r>
      <w:r>
        <w:rPr>
          <w:rFonts w:hint="eastAsia" w:ascii="楷体" w:hAnsi="楷体" w:eastAsia="楷体" w:cs="楷体"/>
          <w:lang w:bidi="zh-TW"/>
        </w:rPr>
        <w:t>合同</w:t>
      </w:r>
      <w:r>
        <w:rPr>
          <w:rFonts w:hint="eastAsia" w:ascii="楷体" w:hAnsi="楷体" w:eastAsia="楷体" w:cs="楷体"/>
          <w:lang w:val="zh-TW" w:eastAsia="zh-TW" w:bidi="zh-TW"/>
        </w:rPr>
        <w:t>未尽事宜，由甲、乙双方协商并经鉴证方确认后签订政府</w:t>
      </w:r>
      <w:r>
        <w:rPr>
          <w:rFonts w:hint="eastAsia" w:ascii="楷体" w:hAnsi="楷体" w:eastAsia="楷体" w:cs="楷体"/>
          <w:lang w:bidi="zh-TW"/>
        </w:rPr>
        <w:t>采购补充合同，</w:t>
      </w:r>
      <w:r>
        <w:rPr>
          <w:rFonts w:hint="eastAsia" w:ascii="楷体" w:hAnsi="楷体" w:eastAsia="楷体" w:cs="楷体"/>
          <w:lang w:val="zh-TW" w:eastAsia="zh-TW" w:bidi="zh-TW"/>
        </w:rPr>
        <w:t>与原合同具有同等法律效力。</w:t>
      </w:r>
    </w:p>
    <w:p w14:paraId="7CCDB41A">
      <w:pPr>
        <w:widowControl w:val="0"/>
        <w:adjustRightInd w:val="0"/>
        <w:snapToGrid w:val="0"/>
        <w:spacing w:line="520" w:lineRule="exact"/>
        <w:jc w:val="both"/>
        <w:rPr>
          <w:rFonts w:ascii="楷体" w:hAnsi="楷体" w:eastAsia="楷体" w:cs="楷体"/>
        </w:rPr>
      </w:pPr>
    </w:p>
    <w:p w14:paraId="13E3B93D">
      <w:pPr>
        <w:widowControl w:val="0"/>
        <w:adjustRightInd w:val="0"/>
        <w:snapToGrid w:val="0"/>
        <w:spacing w:line="520" w:lineRule="exact"/>
        <w:jc w:val="both"/>
        <w:rPr>
          <w:rFonts w:ascii="楷体" w:hAnsi="楷体" w:eastAsia="楷体" w:cs="楷体"/>
        </w:rPr>
      </w:pPr>
    </w:p>
    <w:p w14:paraId="18897F4C">
      <w:pPr>
        <w:widowControl w:val="0"/>
        <w:spacing w:line="360" w:lineRule="auto"/>
        <w:jc w:val="both"/>
        <w:rPr>
          <w:rFonts w:ascii="楷体" w:hAnsi="楷体" w:eastAsia="楷体" w:cs="楷体"/>
          <w:color w:val="000000"/>
          <w:lang w:bidi="zh-TW"/>
        </w:rPr>
      </w:pPr>
    </w:p>
    <w:p w14:paraId="082D5FE3">
      <w:pPr>
        <w:widowControl w:val="0"/>
        <w:spacing w:line="360" w:lineRule="auto"/>
        <w:jc w:val="both"/>
        <w:rPr>
          <w:rFonts w:ascii="楷体" w:hAnsi="楷体" w:eastAsia="楷体" w:cs="楷体"/>
          <w:color w:val="000000"/>
          <w:lang w:bidi="zh-TW"/>
        </w:rPr>
      </w:pPr>
    </w:p>
    <w:p w14:paraId="4AAE7EFB">
      <w:pPr>
        <w:widowControl w:val="0"/>
        <w:spacing w:line="360" w:lineRule="auto"/>
        <w:jc w:val="both"/>
        <w:rPr>
          <w:rFonts w:ascii="楷体" w:hAnsi="楷体" w:eastAsia="楷体" w:cs="楷体"/>
          <w:color w:val="000000"/>
          <w:lang w:bidi="zh-TW"/>
        </w:rPr>
      </w:pPr>
    </w:p>
    <w:p w14:paraId="2CF28AE5">
      <w:pPr>
        <w:widowControl w:val="0"/>
        <w:spacing w:line="360" w:lineRule="auto"/>
        <w:jc w:val="both"/>
        <w:rPr>
          <w:rFonts w:ascii="楷体" w:hAnsi="楷体" w:eastAsia="楷体" w:cs="楷体"/>
          <w:color w:val="000000"/>
          <w:lang w:bidi="zh-TW"/>
        </w:rPr>
      </w:pPr>
    </w:p>
    <w:p w14:paraId="383D6C64">
      <w:pPr>
        <w:widowControl w:val="0"/>
        <w:spacing w:line="360" w:lineRule="auto"/>
        <w:jc w:val="both"/>
        <w:rPr>
          <w:rFonts w:ascii="楷体" w:hAnsi="楷体" w:eastAsia="楷体" w:cs="楷体"/>
          <w:color w:val="000000"/>
          <w:lang w:bidi="zh-TW"/>
        </w:rPr>
      </w:pPr>
    </w:p>
    <w:p w14:paraId="6BEE7886">
      <w:pPr>
        <w:widowControl w:val="0"/>
        <w:spacing w:line="360" w:lineRule="auto"/>
        <w:jc w:val="both"/>
        <w:rPr>
          <w:rFonts w:ascii="楷体" w:hAnsi="楷体" w:eastAsia="楷体" w:cs="楷体"/>
          <w:color w:val="000000"/>
          <w:lang w:bidi="zh-TW"/>
        </w:rPr>
      </w:pPr>
    </w:p>
    <w:p w14:paraId="0A87B728">
      <w:pPr>
        <w:widowControl w:val="0"/>
        <w:spacing w:line="360" w:lineRule="auto"/>
        <w:jc w:val="both"/>
        <w:rPr>
          <w:rFonts w:ascii="楷体" w:hAnsi="楷体" w:eastAsia="楷体" w:cs="楷体"/>
          <w:color w:val="000000"/>
          <w:lang w:bidi="zh-TW"/>
        </w:rPr>
      </w:pPr>
    </w:p>
    <w:p w14:paraId="404588FF">
      <w:pPr>
        <w:widowControl w:val="0"/>
        <w:spacing w:line="360" w:lineRule="auto"/>
        <w:jc w:val="both"/>
        <w:rPr>
          <w:rFonts w:ascii="楷体" w:hAnsi="楷体" w:eastAsia="楷体" w:cs="楷体"/>
          <w:color w:val="000000"/>
          <w:lang w:bidi="zh-TW"/>
        </w:rPr>
      </w:pPr>
    </w:p>
    <w:p w14:paraId="4EC65D9A">
      <w:pPr>
        <w:widowControl w:val="0"/>
        <w:spacing w:line="360" w:lineRule="auto"/>
        <w:jc w:val="both"/>
        <w:rPr>
          <w:rFonts w:ascii="楷体" w:hAnsi="楷体" w:eastAsia="楷体" w:cs="楷体"/>
          <w:color w:val="000000"/>
          <w:lang w:bidi="zh-TW"/>
        </w:rPr>
      </w:pPr>
    </w:p>
    <w:p w14:paraId="1FA063FB">
      <w:pPr>
        <w:widowControl w:val="0"/>
        <w:spacing w:line="360" w:lineRule="auto"/>
        <w:jc w:val="both"/>
        <w:rPr>
          <w:rFonts w:ascii="楷体" w:hAnsi="楷体" w:eastAsia="楷体" w:cs="楷体"/>
          <w:color w:val="000000"/>
          <w:lang w:bidi="zh-TW"/>
        </w:rPr>
      </w:pPr>
    </w:p>
    <w:p w14:paraId="791B7271">
      <w:pPr>
        <w:widowControl w:val="0"/>
        <w:spacing w:line="360" w:lineRule="auto"/>
        <w:jc w:val="both"/>
        <w:rPr>
          <w:rFonts w:ascii="楷体" w:hAnsi="楷体" w:eastAsia="楷体" w:cs="楷体"/>
          <w:color w:val="000000"/>
          <w:lang w:bidi="zh-TW"/>
        </w:rPr>
      </w:pPr>
    </w:p>
    <w:p w14:paraId="3F2A3594">
      <w:pPr>
        <w:widowControl w:val="0"/>
        <w:spacing w:line="360" w:lineRule="auto"/>
        <w:jc w:val="both"/>
        <w:rPr>
          <w:rFonts w:ascii="楷体" w:hAnsi="楷体" w:eastAsia="楷体" w:cs="楷体"/>
          <w:color w:val="000000"/>
          <w:lang w:bidi="zh-TW"/>
        </w:rPr>
      </w:pPr>
    </w:p>
    <w:p w14:paraId="24E978DE">
      <w:pPr>
        <w:widowControl w:val="0"/>
        <w:spacing w:line="360" w:lineRule="auto"/>
        <w:jc w:val="both"/>
        <w:rPr>
          <w:rFonts w:ascii="楷体" w:hAnsi="楷体" w:eastAsia="楷体" w:cs="楷体"/>
          <w:color w:val="000000"/>
          <w:lang w:bidi="zh-TW"/>
        </w:rPr>
      </w:pPr>
    </w:p>
    <w:p w14:paraId="77382CF1">
      <w:pPr>
        <w:widowControl w:val="0"/>
        <w:spacing w:line="360" w:lineRule="auto"/>
        <w:jc w:val="both"/>
        <w:rPr>
          <w:rFonts w:ascii="楷体" w:hAnsi="楷体" w:eastAsia="楷体" w:cs="楷体"/>
          <w:color w:val="000000"/>
          <w:lang w:bidi="zh-TW"/>
        </w:rPr>
      </w:pPr>
    </w:p>
    <w:p w14:paraId="5AA837AA">
      <w:pPr>
        <w:widowControl w:val="0"/>
        <w:spacing w:line="360" w:lineRule="auto"/>
        <w:jc w:val="both"/>
        <w:rPr>
          <w:rFonts w:ascii="楷体" w:hAnsi="楷体" w:eastAsia="楷体" w:cs="楷体"/>
          <w:color w:val="000000"/>
          <w:lang w:bidi="zh-TW"/>
        </w:rPr>
      </w:pPr>
    </w:p>
    <w:p w14:paraId="5D02C9BA">
      <w:pPr>
        <w:widowControl w:val="0"/>
        <w:spacing w:line="360" w:lineRule="auto"/>
        <w:jc w:val="both"/>
        <w:rPr>
          <w:rFonts w:ascii="楷体" w:hAnsi="楷体" w:eastAsia="楷体" w:cs="楷体"/>
          <w:color w:val="000000"/>
          <w:lang w:bidi="zh-TW"/>
        </w:rPr>
      </w:pPr>
    </w:p>
    <w:p w14:paraId="1F5C7106">
      <w:pPr>
        <w:rPr>
          <w:rFonts w:hint="eastAsia" w:ascii="楷体" w:hAnsi="楷体" w:eastAsia="楷体" w:cs="楷体"/>
          <w:color w:val="000000"/>
          <w:lang w:bidi="zh-TW"/>
        </w:rPr>
      </w:pPr>
      <w:r>
        <w:rPr>
          <w:rFonts w:hint="eastAsia" w:ascii="楷体" w:hAnsi="楷体" w:eastAsia="楷体" w:cs="楷体"/>
          <w:color w:val="000000"/>
          <w:lang w:bidi="zh-TW"/>
        </w:rPr>
        <w:br w:type="page"/>
      </w:r>
    </w:p>
    <w:p w14:paraId="71F9D7F3">
      <w:pPr>
        <w:widowControl w:val="0"/>
        <w:spacing w:line="360" w:lineRule="auto"/>
        <w:jc w:val="both"/>
        <w:rPr>
          <w:rFonts w:ascii="楷体" w:hAnsi="楷体" w:eastAsia="楷体" w:cs="楷体"/>
          <w:color w:val="000000"/>
          <w:lang w:bidi="zh-TW"/>
        </w:rPr>
      </w:pPr>
      <w:r>
        <w:rPr>
          <w:rFonts w:hint="eastAsia" w:ascii="楷体" w:hAnsi="楷体" w:eastAsia="楷体" w:cs="楷体"/>
          <w:color w:val="000000"/>
          <w:lang w:bidi="zh-TW"/>
        </w:rPr>
        <w:t>（本页无正文）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011"/>
        <w:gridCol w:w="3685"/>
      </w:tblGrid>
      <w:tr w14:paraId="490FE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8" w:hRule="exact"/>
          <w:jc w:val="center"/>
        </w:trPr>
        <w:tc>
          <w:tcPr>
            <w:tcW w:w="4011" w:type="dxa"/>
            <w:tcBorders>
              <w:bottom w:val="single" w:color="auto" w:sz="4" w:space="0"/>
            </w:tcBorders>
            <w:noWrap/>
            <w:vAlign w:val="center"/>
          </w:tcPr>
          <w:p w14:paraId="46E63272">
            <w:pPr>
              <w:widowControl w:val="0"/>
              <w:ind w:left="119" w:hanging="118" w:hangingChars="54"/>
              <w:jc w:val="center"/>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甲方</w:t>
            </w:r>
          </w:p>
        </w:tc>
        <w:tc>
          <w:tcPr>
            <w:tcW w:w="3685" w:type="dxa"/>
            <w:tcBorders>
              <w:bottom w:val="single" w:color="auto" w:sz="4" w:space="0"/>
            </w:tcBorders>
            <w:noWrap/>
            <w:vAlign w:val="center"/>
          </w:tcPr>
          <w:p w14:paraId="2A320091">
            <w:pPr>
              <w:widowControl w:val="0"/>
              <w:tabs>
                <w:tab w:val="left" w:pos="1191"/>
              </w:tabs>
              <w:jc w:val="center"/>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乙方</w:t>
            </w:r>
          </w:p>
        </w:tc>
      </w:tr>
      <w:tr w14:paraId="2734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36" w:hRule="exact"/>
          <w:jc w:val="center"/>
        </w:trPr>
        <w:tc>
          <w:tcPr>
            <w:tcW w:w="4011" w:type="dxa"/>
            <w:tcBorders>
              <w:top w:val="single" w:color="auto" w:sz="4" w:space="0"/>
            </w:tcBorders>
            <w:noWrap/>
            <w:vAlign w:val="center"/>
          </w:tcPr>
          <w:p w14:paraId="6759AB99">
            <w:pPr>
              <w:widowControl w:val="0"/>
              <w:jc w:val="center"/>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釆购人名称</w:t>
            </w:r>
          </w:p>
          <w:p w14:paraId="1F3F6D70">
            <w:pPr>
              <w:widowControl w:val="0"/>
              <w:ind w:left="1080" w:firstLine="440" w:firstLineChars="200"/>
              <w:jc w:val="center"/>
              <w:rPr>
                <w:rFonts w:ascii="楷体" w:hAnsi="楷体" w:eastAsia="楷体" w:cs="楷体"/>
                <w:color w:val="000000"/>
                <w:sz w:val="22"/>
                <w:szCs w:val="22"/>
                <w:lang w:val="zh-TW" w:eastAsia="zh-TW" w:bidi="zh-TW"/>
              </w:rPr>
            </w:pPr>
          </w:p>
          <w:p w14:paraId="010C8373">
            <w:pPr>
              <w:widowControl w:val="0"/>
              <w:ind w:firstLine="442" w:firstLineChars="200"/>
              <w:jc w:val="both"/>
              <w:rPr>
                <w:rFonts w:ascii="楷体" w:hAnsi="楷体" w:eastAsia="楷体" w:cs="楷体"/>
                <w:b/>
                <w:bCs/>
                <w:color w:val="000000"/>
                <w:sz w:val="22"/>
                <w:szCs w:val="22"/>
                <w:lang w:val="zh-TW" w:bidi="zh-TW"/>
              </w:rPr>
            </w:pPr>
            <w:r>
              <w:rPr>
                <w:rFonts w:hint="eastAsia" w:ascii="楷体" w:hAnsi="楷体" w:eastAsia="楷体" w:cs="楷体"/>
                <w:b/>
                <w:bCs/>
                <w:color w:val="000000"/>
                <w:sz w:val="22"/>
                <w:szCs w:val="22"/>
                <w:lang w:val="zh-TW" w:bidi="zh-TW"/>
              </w:rPr>
              <w:t>（</w:t>
            </w:r>
            <w:r>
              <w:rPr>
                <w:rFonts w:hint="eastAsia" w:ascii="楷体" w:hAnsi="楷体" w:eastAsia="楷体" w:cs="楷体"/>
                <w:b/>
                <w:bCs/>
                <w:color w:val="000000"/>
                <w:sz w:val="22"/>
                <w:szCs w:val="22"/>
                <w:lang w:bidi="zh-TW"/>
              </w:rPr>
              <w:t>请填写具体名称</w:t>
            </w:r>
            <w:r>
              <w:rPr>
                <w:rFonts w:hint="eastAsia" w:ascii="楷体" w:hAnsi="楷体" w:eastAsia="楷体" w:cs="楷体"/>
                <w:b/>
                <w:bCs/>
                <w:color w:val="000000"/>
                <w:sz w:val="22"/>
                <w:szCs w:val="22"/>
                <w:lang w:val="zh-TW" w:bidi="zh-TW"/>
              </w:rPr>
              <w:t>）</w:t>
            </w:r>
          </w:p>
          <w:p w14:paraId="1004D8C3">
            <w:pPr>
              <w:widowControl w:val="0"/>
              <w:jc w:val="both"/>
              <w:rPr>
                <w:rFonts w:ascii="楷体" w:hAnsi="楷体" w:eastAsia="楷体" w:cs="楷体"/>
                <w:color w:val="000000"/>
                <w:sz w:val="22"/>
                <w:szCs w:val="22"/>
                <w:lang w:val="zh-TW" w:eastAsia="zh-TW" w:bidi="zh-TW"/>
              </w:rPr>
            </w:pPr>
          </w:p>
          <w:p w14:paraId="42995FA2">
            <w:pPr>
              <w:widowControl w:val="0"/>
              <w:ind w:firstLine="937" w:firstLineChars="426"/>
              <w:jc w:val="both"/>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（盖章）</w:t>
            </w:r>
          </w:p>
        </w:tc>
        <w:tc>
          <w:tcPr>
            <w:tcW w:w="3685" w:type="dxa"/>
            <w:tcBorders>
              <w:top w:val="single" w:color="auto" w:sz="4" w:space="0"/>
            </w:tcBorders>
            <w:noWrap/>
            <w:vAlign w:val="center"/>
          </w:tcPr>
          <w:p w14:paraId="07A36254">
            <w:pPr>
              <w:widowControl w:val="0"/>
              <w:jc w:val="center"/>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bidi="zh-TW"/>
              </w:rPr>
              <w:t>中标人</w:t>
            </w:r>
            <w:r>
              <w:rPr>
                <w:rFonts w:hint="eastAsia" w:ascii="楷体" w:hAnsi="楷体" w:eastAsia="楷体" w:cs="楷体"/>
                <w:color w:val="000000"/>
                <w:sz w:val="22"/>
                <w:szCs w:val="22"/>
                <w:lang w:val="zh-TW" w:eastAsia="zh-TW" w:bidi="zh-TW"/>
              </w:rPr>
              <w:t>全称</w:t>
            </w:r>
          </w:p>
          <w:p w14:paraId="1D28413B">
            <w:pPr>
              <w:widowControl w:val="0"/>
              <w:ind w:firstLine="440" w:firstLineChars="200"/>
              <w:jc w:val="center"/>
              <w:rPr>
                <w:rFonts w:ascii="楷体" w:hAnsi="楷体" w:eastAsia="楷体" w:cs="楷体"/>
                <w:color w:val="000000"/>
                <w:sz w:val="22"/>
                <w:szCs w:val="22"/>
                <w:lang w:val="zh-TW" w:eastAsia="zh-TW" w:bidi="zh-TW"/>
              </w:rPr>
            </w:pPr>
          </w:p>
          <w:p w14:paraId="326623F8">
            <w:pPr>
              <w:widowControl w:val="0"/>
              <w:ind w:firstLine="442" w:firstLineChars="200"/>
              <w:jc w:val="both"/>
              <w:rPr>
                <w:rFonts w:ascii="楷体" w:hAnsi="楷体" w:eastAsia="楷体" w:cs="楷体"/>
                <w:color w:val="000000"/>
                <w:sz w:val="22"/>
                <w:szCs w:val="22"/>
                <w:lang w:val="zh-TW" w:eastAsia="zh-TW" w:bidi="zh-TW"/>
              </w:rPr>
            </w:pPr>
            <w:r>
              <w:rPr>
                <w:rFonts w:hint="eastAsia" w:ascii="楷体" w:hAnsi="楷体" w:eastAsia="楷体" w:cs="楷体"/>
                <w:b/>
                <w:bCs/>
                <w:color w:val="000000"/>
                <w:sz w:val="22"/>
                <w:szCs w:val="22"/>
                <w:lang w:val="zh-TW" w:bidi="zh-TW"/>
              </w:rPr>
              <w:t>（</w:t>
            </w:r>
            <w:r>
              <w:rPr>
                <w:rFonts w:hint="eastAsia" w:ascii="楷体" w:hAnsi="楷体" w:eastAsia="楷体" w:cs="楷体"/>
                <w:b/>
                <w:bCs/>
                <w:color w:val="000000"/>
                <w:sz w:val="22"/>
                <w:szCs w:val="22"/>
                <w:lang w:bidi="zh-TW"/>
              </w:rPr>
              <w:t>请填写具体名称</w:t>
            </w:r>
            <w:r>
              <w:rPr>
                <w:rFonts w:hint="eastAsia" w:ascii="楷体" w:hAnsi="楷体" w:eastAsia="楷体" w:cs="楷体"/>
                <w:b/>
                <w:bCs/>
                <w:color w:val="000000"/>
                <w:sz w:val="22"/>
                <w:szCs w:val="22"/>
                <w:lang w:val="zh-TW" w:bidi="zh-TW"/>
              </w:rPr>
              <w:t>）</w:t>
            </w:r>
          </w:p>
          <w:p w14:paraId="17106843">
            <w:pPr>
              <w:widowControl w:val="0"/>
              <w:ind w:firstLine="440" w:firstLineChars="200"/>
              <w:jc w:val="center"/>
              <w:rPr>
                <w:rFonts w:ascii="楷体" w:hAnsi="楷体" w:eastAsia="楷体" w:cs="楷体"/>
                <w:color w:val="000000"/>
                <w:sz w:val="22"/>
                <w:szCs w:val="22"/>
                <w:lang w:val="zh-TW" w:eastAsia="zh-TW" w:bidi="zh-TW"/>
              </w:rPr>
            </w:pPr>
          </w:p>
          <w:p w14:paraId="12D7885F">
            <w:pPr>
              <w:widowControl w:val="0"/>
              <w:ind w:firstLine="239" w:firstLineChars="109"/>
              <w:jc w:val="center"/>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（盖章）</w:t>
            </w:r>
          </w:p>
        </w:tc>
      </w:tr>
      <w:tr w14:paraId="2221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07" w:hRule="exact"/>
          <w:jc w:val="center"/>
        </w:trPr>
        <w:tc>
          <w:tcPr>
            <w:tcW w:w="4011" w:type="dxa"/>
            <w:noWrap/>
          </w:tcPr>
          <w:p w14:paraId="40F685C4">
            <w:pPr>
              <w:widowControl w:val="0"/>
              <w:spacing w:before="24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地址：</w:t>
            </w:r>
          </w:p>
        </w:tc>
        <w:tc>
          <w:tcPr>
            <w:tcW w:w="3685" w:type="dxa"/>
            <w:noWrap/>
          </w:tcPr>
          <w:p w14:paraId="265A543F">
            <w:pPr>
              <w:widowControl w:val="0"/>
              <w:spacing w:before="24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地址：</w:t>
            </w:r>
          </w:p>
        </w:tc>
      </w:tr>
      <w:tr w14:paraId="4E62A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011" w:type="dxa"/>
            <w:noWrap/>
            <w:vAlign w:val="center"/>
          </w:tcPr>
          <w:p w14:paraId="58224131">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邮编：</w:t>
            </w:r>
          </w:p>
        </w:tc>
        <w:tc>
          <w:tcPr>
            <w:tcW w:w="3685" w:type="dxa"/>
            <w:noWrap/>
            <w:vAlign w:val="center"/>
          </w:tcPr>
          <w:p w14:paraId="3893994A">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邮编：</w:t>
            </w:r>
          </w:p>
        </w:tc>
      </w:tr>
      <w:tr w14:paraId="4EF83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28" w:hRule="exact"/>
          <w:jc w:val="center"/>
        </w:trPr>
        <w:tc>
          <w:tcPr>
            <w:tcW w:w="4011" w:type="dxa"/>
            <w:noWrap/>
          </w:tcPr>
          <w:p w14:paraId="1DEBBCBE">
            <w:pPr>
              <w:widowControl w:val="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法定代表人或委托代理人：</w:t>
            </w:r>
          </w:p>
          <w:p w14:paraId="3507D6C2">
            <w:pPr>
              <w:widowControl w:val="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（签章）</w:t>
            </w:r>
          </w:p>
        </w:tc>
        <w:tc>
          <w:tcPr>
            <w:tcW w:w="3685" w:type="dxa"/>
            <w:noWrap/>
          </w:tcPr>
          <w:p w14:paraId="6FAEA8FA">
            <w:pPr>
              <w:widowControl w:val="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法定代表人或</w:t>
            </w:r>
            <w:r>
              <w:rPr>
                <w:rFonts w:hint="eastAsia" w:ascii="楷体" w:hAnsi="楷体" w:eastAsia="楷体" w:cs="楷体"/>
                <w:color w:val="000000"/>
                <w:sz w:val="22"/>
                <w:szCs w:val="22"/>
                <w:lang w:bidi="zh-TW"/>
              </w:rPr>
              <w:t>委托代理人</w:t>
            </w:r>
            <w:r>
              <w:rPr>
                <w:rFonts w:hint="eastAsia" w:ascii="楷体" w:hAnsi="楷体" w:eastAsia="楷体" w:cs="楷体"/>
                <w:color w:val="000000"/>
                <w:sz w:val="22"/>
                <w:szCs w:val="22"/>
                <w:lang w:val="zh-TW" w:eastAsia="zh-TW" w:bidi="zh-TW"/>
              </w:rPr>
              <w:t>：</w:t>
            </w:r>
          </w:p>
          <w:p w14:paraId="041B3D9E">
            <w:pPr>
              <w:widowControl w:val="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（签章）</w:t>
            </w:r>
          </w:p>
        </w:tc>
      </w:tr>
      <w:tr w14:paraId="48E31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011" w:type="dxa"/>
            <w:noWrap/>
            <w:vAlign w:val="center"/>
          </w:tcPr>
          <w:p w14:paraId="3A003E04">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电话：</w:t>
            </w:r>
          </w:p>
        </w:tc>
        <w:tc>
          <w:tcPr>
            <w:tcW w:w="3685" w:type="dxa"/>
            <w:noWrap/>
            <w:vAlign w:val="center"/>
          </w:tcPr>
          <w:p w14:paraId="21F4682D">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电话：</w:t>
            </w:r>
          </w:p>
        </w:tc>
      </w:tr>
      <w:tr w14:paraId="5BC1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011" w:type="dxa"/>
            <w:noWrap/>
            <w:vAlign w:val="center"/>
          </w:tcPr>
          <w:p w14:paraId="5086EEA1">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传真：</w:t>
            </w:r>
          </w:p>
        </w:tc>
        <w:tc>
          <w:tcPr>
            <w:tcW w:w="3685" w:type="dxa"/>
            <w:noWrap/>
            <w:vAlign w:val="center"/>
          </w:tcPr>
          <w:p w14:paraId="69D2E7ED">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传真：</w:t>
            </w:r>
          </w:p>
        </w:tc>
      </w:tr>
      <w:tr w14:paraId="5AD23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011" w:type="dxa"/>
            <w:noWrap/>
            <w:vAlign w:val="center"/>
          </w:tcPr>
          <w:p w14:paraId="2514FAEB">
            <w:pPr>
              <w:widowControl w:val="0"/>
              <w:ind w:firstLine="440" w:firstLineChars="200"/>
              <w:rPr>
                <w:rFonts w:ascii="楷体" w:hAnsi="楷体" w:eastAsia="楷体" w:cs="楷体"/>
                <w:color w:val="000000"/>
                <w:sz w:val="22"/>
                <w:szCs w:val="22"/>
                <w:lang w:val="zh-TW" w:eastAsia="zh-TW" w:bidi="zh-TW"/>
              </w:rPr>
            </w:pPr>
          </w:p>
        </w:tc>
        <w:tc>
          <w:tcPr>
            <w:tcW w:w="3685" w:type="dxa"/>
            <w:noWrap/>
            <w:vAlign w:val="center"/>
          </w:tcPr>
          <w:p w14:paraId="3CEFA800">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开户银行：</w:t>
            </w:r>
          </w:p>
        </w:tc>
      </w:tr>
      <w:tr w14:paraId="6EA6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tcW w:w="4011" w:type="dxa"/>
            <w:noWrap/>
          </w:tcPr>
          <w:p w14:paraId="1EF7A2C6">
            <w:pPr>
              <w:widowControl w:val="0"/>
              <w:rPr>
                <w:rFonts w:ascii="楷体" w:hAnsi="楷体" w:eastAsia="楷体" w:cs="楷体"/>
                <w:color w:val="000000"/>
                <w:kern w:val="0"/>
                <w:sz w:val="10"/>
                <w:szCs w:val="10"/>
                <w:lang w:eastAsia="en-US" w:bidi="en-US"/>
              </w:rPr>
            </w:pPr>
          </w:p>
        </w:tc>
        <w:tc>
          <w:tcPr>
            <w:tcW w:w="3685" w:type="dxa"/>
            <w:noWrap/>
            <w:vAlign w:val="center"/>
          </w:tcPr>
          <w:p w14:paraId="685C51AD">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bidi="zh-TW"/>
              </w:rPr>
              <w:t>账</w:t>
            </w:r>
            <w:r>
              <w:rPr>
                <w:rFonts w:hint="eastAsia" w:ascii="楷体" w:hAnsi="楷体" w:eastAsia="楷体" w:cs="楷体"/>
                <w:color w:val="000000"/>
                <w:sz w:val="22"/>
                <w:szCs w:val="22"/>
                <w:lang w:val="zh-TW" w:eastAsia="zh-TW" w:bidi="zh-TW"/>
              </w:rPr>
              <w:t>号：</w:t>
            </w:r>
          </w:p>
        </w:tc>
      </w:tr>
      <w:tr w14:paraId="6773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4011" w:type="dxa"/>
            <w:noWrap/>
            <w:vAlign w:val="center"/>
          </w:tcPr>
          <w:p w14:paraId="4E09FB61">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日期：</w:t>
            </w:r>
            <w:r>
              <w:rPr>
                <w:rFonts w:hint="eastAsia" w:ascii="楷体" w:hAnsi="楷体" w:eastAsia="楷体" w:cs="楷体"/>
                <w:color w:val="000000"/>
                <w:sz w:val="22"/>
                <w:szCs w:val="22"/>
                <w:lang w:val="en-US" w:eastAsia="zh-CN" w:bidi="zh-TW"/>
              </w:rPr>
              <w:t xml:space="preserve">   </w:t>
            </w:r>
            <w:r>
              <w:rPr>
                <w:rFonts w:hint="eastAsia" w:ascii="楷体" w:hAnsi="楷体" w:eastAsia="楷体" w:cs="楷体"/>
                <w:color w:val="000000"/>
                <w:sz w:val="22"/>
                <w:szCs w:val="22"/>
                <w:lang w:val="zh-TW" w:eastAsia="zh-TW" w:bidi="zh-TW"/>
              </w:rPr>
              <w:t xml:space="preserve">年 </w:t>
            </w:r>
            <w:r>
              <w:rPr>
                <w:rFonts w:hint="eastAsia" w:ascii="楷体" w:hAnsi="楷体" w:eastAsia="楷体" w:cs="楷体"/>
                <w:color w:val="000000"/>
                <w:sz w:val="22"/>
                <w:szCs w:val="22"/>
                <w:lang w:val="en-US" w:eastAsia="zh-CN" w:bidi="zh-TW"/>
              </w:rPr>
              <w:t xml:space="preserve"> </w:t>
            </w:r>
            <w:r>
              <w:rPr>
                <w:rFonts w:hint="eastAsia" w:ascii="楷体" w:hAnsi="楷体" w:eastAsia="楷体" w:cs="楷体"/>
                <w:color w:val="000000"/>
                <w:sz w:val="22"/>
                <w:szCs w:val="22"/>
                <w:lang w:val="zh-CN" w:bidi="zh-CN"/>
              </w:rPr>
              <w:t>月</w:t>
            </w:r>
            <w:r>
              <w:rPr>
                <w:rFonts w:hint="eastAsia" w:ascii="楷体" w:hAnsi="楷体" w:eastAsia="楷体" w:cs="楷体"/>
                <w:color w:val="000000"/>
                <w:sz w:val="22"/>
                <w:szCs w:val="22"/>
                <w:lang w:bidi="zh-CN"/>
              </w:rPr>
              <w:t xml:space="preserve">  日</w:t>
            </w:r>
          </w:p>
        </w:tc>
        <w:tc>
          <w:tcPr>
            <w:tcW w:w="3685" w:type="dxa"/>
            <w:noWrap/>
            <w:vAlign w:val="center"/>
          </w:tcPr>
          <w:p w14:paraId="60B1D407">
            <w:pPr>
              <w:widowControl w:val="0"/>
              <w:ind w:firstLine="440" w:firstLineChars="200"/>
              <w:rPr>
                <w:rFonts w:ascii="楷体" w:hAnsi="楷体" w:eastAsia="楷体" w:cs="楷体"/>
                <w:color w:val="000000"/>
                <w:sz w:val="22"/>
                <w:szCs w:val="22"/>
                <w:lang w:val="zh-TW" w:eastAsia="zh-TW" w:bidi="zh-TW"/>
              </w:rPr>
            </w:pPr>
            <w:r>
              <w:rPr>
                <w:rFonts w:hint="eastAsia" w:ascii="楷体" w:hAnsi="楷体" w:eastAsia="楷体" w:cs="楷体"/>
                <w:color w:val="000000"/>
                <w:sz w:val="22"/>
                <w:szCs w:val="22"/>
                <w:lang w:val="zh-TW" w:eastAsia="zh-TW" w:bidi="zh-TW"/>
              </w:rPr>
              <w:t>日期：</w:t>
            </w:r>
            <w:r>
              <w:rPr>
                <w:rFonts w:hint="eastAsia" w:ascii="楷体" w:hAnsi="楷体" w:eastAsia="楷体" w:cs="楷体"/>
                <w:color w:val="000000"/>
                <w:sz w:val="22"/>
                <w:szCs w:val="22"/>
                <w:lang w:val="en-US" w:eastAsia="zh-CN" w:bidi="zh-TW"/>
              </w:rPr>
              <w:t xml:space="preserve">   </w:t>
            </w:r>
            <w:r>
              <w:rPr>
                <w:rFonts w:hint="eastAsia" w:ascii="楷体" w:hAnsi="楷体" w:eastAsia="楷体" w:cs="楷体"/>
                <w:color w:val="000000"/>
                <w:sz w:val="22"/>
                <w:szCs w:val="22"/>
                <w:lang w:val="zh-TW" w:eastAsia="zh-TW" w:bidi="zh-TW"/>
              </w:rPr>
              <w:t>年</w:t>
            </w:r>
            <w:r>
              <w:rPr>
                <w:rFonts w:hint="eastAsia" w:ascii="楷体" w:hAnsi="楷体" w:eastAsia="楷体" w:cs="楷体"/>
                <w:color w:val="000000"/>
                <w:sz w:val="22"/>
                <w:szCs w:val="22"/>
                <w:lang w:val="en-US" w:eastAsia="zh-CN" w:bidi="zh-TW"/>
              </w:rPr>
              <w:t xml:space="preserve">  </w:t>
            </w:r>
            <w:r>
              <w:rPr>
                <w:rFonts w:hint="eastAsia" w:ascii="楷体" w:hAnsi="楷体" w:eastAsia="楷体" w:cs="楷体"/>
                <w:color w:val="000000"/>
                <w:sz w:val="22"/>
                <w:szCs w:val="22"/>
                <w:lang w:val="zh-CN" w:bidi="zh-TW"/>
              </w:rPr>
              <w:t>月</w:t>
            </w:r>
            <w:r>
              <w:rPr>
                <w:rFonts w:hint="eastAsia" w:ascii="楷体" w:hAnsi="楷体" w:eastAsia="楷体" w:cs="楷体"/>
                <w:color w:val="000000"/>
                <w:sz w:val="22"/>
                <w:szCs w:val="22"/>
                <w:lang w:bidi="zh-TW"/>
              </w:rPr>
              <w:t xml:space="preserve">  日</w:t>
            </w:r>
          </w:p>
        </w:tc>
      </w:tr>
    </w:tbl>
    <w:p w14:paraId="51973B63">
      <w:pPr>
        <w:widowControl w:val="0"/>
        <w:adjustRightInd w:val="0"/>
        <w:snapToGrid w:val="0"/>
        <w:spacing w:line="360" w:lineRule="auto"/>
        <w:jc w:val="both"/>
        <w:rPr>
          <w:rFonts w:ascii="楷体" w:hAnsi="楷体" w:eastAsia="楷体" w:cs="楷体"/>
          <w:b/>
          <w:sz w:val="21"/>
          <w:szCs w:val="21"/>
        </w:rPr>
      </w:pPr>
    </w:p>
    <w:p w14:paraId="16F637F7">
      <w:pPr>
        <w:widowControl w:val="0"/>
        <w:jc w:val="both"/>
        <w:rPr>
          <w:rFonts w:ascii="楷体" w:hAnsi="楷体" w:eastAsia="楷体" w:cs="楷体"/>
          <w:b/>
          <w:sz w:val="21"/>
          <w:szCs w:val="21"/>
        </w:rPr>
      </w:pPr>
    </w:p>
    <w:p w14:paraId="13C9A915">
      <w:pPr>
        <w:pStyle w:val="7"/>
        <w:rPr>
          <w:rFonts w:ascii="楷体" w:hAnsi="楷体" w:eastAsia="楷体" w:cs="楷体"/>
        </w:rPr>
      </w:pPr>
    </w:p>
    <w:p w14:paraId="063BCDDC">
      <w:pPr>
        <w:pStyle w:val="7"/>
        <w:rPr>
          <w:rFonts w:ascii="楷体" w:hAnsi="楷体" w:eastAsia="楷体" w:cs="楷体"/>
        </w:rPr>
      </w:pPr>
    </w:p>
    <w:p w14:paraId="75AAB48D">
      <w:pPr>
        <w:rPr>
          <w:rFonts w:ascii="楷体" w:hAnsi="楷体" w:eastAsia="楷体" w:cs="楷体"/>
          <w:b/>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647889"/>
    <w:multiLevelType w:val="singleLevel"/>
    <w:tmpl w:val="CD647889"/>
    <w:lvl w:ilvl="0" w:tentative="0">
      <w:start w:val="2"/>
      <w:numFmt w:val="decimal"/>
      <w:suff w:val="nothing"/>
      <w:lvlText w:val="%1、"/>
      <w:lvlJc w:val="left"/>
    </w:lvl>
  </w:abstractNum>
  <w:abstractNum w:abstractNumId="1">
    <w:nsid w:val="E9D957BE"/>
    <w:multiLevelType w:val="singleLevel"/>
    <w:tmpl w:val="E9D957BE"/>
    <w:lvl w:ilvl="0" w:tentative="0">
      <w:start w:val="2"/>
      <w:numFmt w:val="chineseCounting"/>
      <w:suff w:val="nothing"/>
      <w:lvlText w:val="%1、"/>
      <w:lvlJc w:val="left"/>
      <w:rPr>
        <w:rFonts w:hint="eastAsia"/>
      </w:rPr>
    </w:lvl>
  </w:abstractNum>
  <w:abstractNum w:abstractNumId="2">
    <w:nsid w:val="6D4132C2"/>
    <w:multiLevelType w:val="multilevel"/>
    <w:tmpl w:val="6D4132C2"/>
    <w:lvl w:ilvl="0" w:tentative="0">
      <w:start w:val="1"/>
      <w:numFmt w:val="none"/>
      <w:pStyle w:val="3"/>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21FFA"/>
    <w:rsid w:val="48121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heme="minorHAnsi" w:hAnsiTheme="minorHAnsi" w:eastAsiaTheme="minorEastAsia" w:cstheme="minorBidi"/>
      <w:kern w:val="2"/>
      <w:sz w:val="24"/>
      <w:szCs w:val="24"/>
      <w:lang w:val="en-US" w:eastAsia="zh-CN" w:bidi="ar-SA"/>
    </w:rPr>
  </w:style>
  <w:style w:type="paragraph" w:styleId="3">
    <w:name w:val="heading 1"/>
    <w:basedOn w:val="1"/>
    <w:next w:val="1"/>
    <w:qFormat/>
    <w:uiPriority w:val="9"/>
    <w:pPr>
      <w:keepNext/>
      <w:numPr>
        <w:ilvl w:val="0"/>
        <w:numId w:val="1"/>
      </w:numPr>
      <w:spacing w:beforeLines="50" w:afterLines="50"/>
      <w:jc w:val="center"/>
      <w:outlineLvl w:val="0"/>
    </w:pPr>
    <w:rPr>
      <w:rFonts w:ascii="Calibri" w:hAnsi="Calibri" w:eastAsia="黑体"/>
      <w:bCs/>
      <w:kern w:val="36"/>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4">
    <w:name w:val="Body Text"/>
    <w:basedOn w:val="1"/>
    <w:next w:val="1"/>
    <w:qFormat/>
    <w:uiPriority w:val="0"/>
    <w:rPr>
      <w:rFonts w:ascii="Copperplate Gothic Bold" w:hAnsi="Copperplate Gothic Bold"/>
      <w:sz w:val="28"/>
    </w:rPr>
  </w:style>
  <w:style w:type="paragraph" w:customStyle="1" w:styleId="7">
    <w:name w:val="列出段落1"/>
    <w:basedOn w:val="1"/>
    <w:qFormat/>
    <w:uiPriority w:val="34"/>
    <w:pPr>
      <w:ind w:firstLine="420"/>
    </w:pPr>
    <w:rPr>
      <w:rFonts w:ascii="Times New Roman" w:hAnsi="Times New Roman" w:eastAsia="宋体" w:cs="Times New Roman"/>
      <w:sz w:val="21"/>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2025-11-11T02:43:00Z</dcterms:created>
  <dc:creator>一海千城梦～</dc:creator>
  <cp:lastModifiedBy>一海千城梦～</cp:lastModifiedBy>
  <dcterms:modified xsi:type="dcterms:W3CDTF">2025-11-11T03:04:41Z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03C096759467423E9CA9E2704570266B_11</vt:lpwstr>
  </property>
  <property fmtid="{D5CDD505-2E9C-101B-9397-08002B2CF9AE}" pid="4" name="KSOTemplateDocerSaveRecord">
    <vt:lpwstr>eyJoZGlkIjoiNTU4NmZiZGFkOGY1NjUxMDFiYWNmOTA0M2MwYjIyYjIiLCJ1c2VySWQiOiI3NzM5Mzc1NDYifQ==</vt:lpwstr>
  </property>
</Properties>
</file>