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版本号：ZXGJXM2025-ZC-GK00320251110002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铜川公路管理局2025年冬季除雪应急设备购置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ZXGJXM2025-ZC-GK003</w:t>
      </w:r>
      <w:r>
        <w:br/>
      </w:r>
      <w:r>
        <w:br/>
      </w:r>
      <w:r>
        <w:br/>
      </w:r>
    </w:p>
    <w:p>
      <w:pPr>
        <w:pStyle w:val="null3"/>
        <w:jc w:val="center"/>
        <w:outlineLvl w:val="2"/>
      </w:pPr>
      <w:r>
        <w:rPr>
          <w:rFonts w:ascii="仿宋_GB2312" w:hAnsi="仿宋_GB2312" w:cs="仿宋_GB2312" w:eastAsia="仿宋_GB2312"/>
          <w:sz w:val="28"/>
          <w:b/>
        </w:rPr>
        <w:t>陕西省铜川公路管理局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陕西省铜川公路管理局</w:t>
      </w:r>
      <w:r>
        <w:rPr>
          <w:rFonts w:ascii="仿宋_GB2312" w:hAnsi="仿宋_GB2312" w:cs="仿宋_GB2312" w:eastAsia="仿宋_GB2312"/>
        </w:rPr>
        <w:t>委托，拟对</w:t>
      </w:r>
      <w:r>
        <w:rPr>
          <w:rFonts w:ascii="仿宋_GB2312" w:hAnsi="仿宋_GB2312" w:cs="仿宋_GB2312" w:eastAsia="仿宋_GB2312"/>
        </w:rPr>
        <w:t>铜川公路管理局2025年冬季除雪应急设备购置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ZXGJXM2025-ZC-GK003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铜川公路管理局2025年冬季除雪应急设备购置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铜川市宜君县境内210国道，弯急陡坡较多，每逢冬季降雪对道路的加强零季陈雪能分，虽加强冬季除雪能力，亟需购置专用冬季除雪应急设备以提升冬季国道通行效能。具体内容详见采购需求。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1、提供独立法人或其他组织的相应证明文件：具有独立承担民事责任能力的法人、其他组织或自然人，并出具合法有效的营业执照或事业单位法人证书等国家规定的相关证明，自然人参与的提供其身份证明；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2、财务状况报告：提供2023年或2024年任一年度经审计的财务审计报告(2025年新成立的公司提供成立后企业的资产负债表和利润表），或提供近一年内基本存款账户开户银行开具的资信证明；</w:t>
      </w:r>
    </w:p>
    <w:p>
      <w:pPr>
        <w:pStyle w:val="null3"/>
      </w:pPr>
      <w:r>
        <w:rPr>
          <w:rFonts w:ascii="仿宋_GB2312" w:hAnsi="仿宋_GB2312" w:cs="仿宋_GB2312" w:eastAsia="仿宋_GB2312"/>
        </w:rPr>
        <w:t>3、税收缴纳证明：提供2025年01月01日至今任意两个月缴纳税收的证明材料（任意税种）,依法免税的单位应提供相关证明材料；</w:t>
      </w:r>
    </w:p>
    <w:p>
      <w:pPr>
        <w:pStyle w:val="null3"/>
      </w:pPr>
      <w:r>
        <w:rPr>
          <w:rFonts w:ascii="仿宋_GB2312" w:hAnsi="仿宋_GB2312" w:cs="仿宋_GB2312" w:eastAsia="仿宋_GB2312"/>
        </w:rPr>
        <w:t>4、社会保障资金缴纳证明：提供2025年01月01日至今任意两个月依法缴纳社会保障资金的证明材料（依法不需要缴纳社会保障资金的单位应提供相关证明材料）；</w:t>
      </w:r>
    </w:p>
    <w:p>
      <w:pPr>
        <w:pStyle w:val="null3"/>
      </w:pPr>
      <w:r>
        <w:rPr>
          <w:rFonts w:ascii="仿宋_GB2312" w:hAnsi="仿宋_GB2312" w:cs="仿宋_GB2312" w:eastAsia="仿宋_GB2312"/>
        </w:rPr>
        <w:t>5、信用信息查询：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6、具备履行合同的能力承诺：具备履行合同所必需的设备和专业技术能力（提供承诺函）；</w:t>
      </w:r>
    </w:p>
    <w:p>
      <w:pPr>
        <w:pStyle w:val="null3"/>
      </w:pPr>
      <w:r>
        <w:rPr>
          <w:rFonts w:ascii="仿宋_GB2312" w:hAnsi="仿宋_GB2312" w:cs="仿宋_GB2312" w:eastAsia="仿宋_GB2312"/>
        </w:rPr>
        <w:t>7、无重大违法记录声明：参加政府采购活动前3年内，在经营活动中没有重大违法记录（提供书面声明函）；</w:t>
      </w:r>
    </w:p>
    <w:p>
      <w:pPr>
        <w:pStyle w:val="null3"/>
      </w:pPr>
      <w:r>
        <w:rPr>
          <w:rFonts w:ascii="仿宋_GB2312" w:hAnsi="仿宋_GB2312" w:cs="仿宋_GB2312" w:eastAsia="仿宋_GB2312"/>
        </w:rPr>
        <w:t>8、关联关系：单位负责人为同一人或者存在直接控股、管理关系的不同供应商不得同时参加本项目投标；</w:t>
      </w:r>
    </w:p>
    <w:p>
      <w:pPr>
        <w:pStyle w:val="null3"/>
      </w:pPr>
      <w:r>
        <w:rPr>
          <w:rFonts w:ascii="仿宋_GB2312" w:hAnsi="仿宋_GB2312" w:cs="仿宋_GB2312" w:eastAsia="仿宋_GB2312"/>
        </w:rPr>
        <w:t>9、法定代表人授权委托书或法定代表人身份证明：法定代表人授权委托书（附法定代表人及被授权人身份证复印件）（如法定代表人参加投标只需提交法定代表人身份证明并附身份证复印件）；</w:t>
      </w:r>
    </w:p>
    <w:p>
      <w:pPr>
        <w:pStyle w:val="null3"/>
      </w:pPr>
      <w:r>
        <w:rPr>
          <w:rFonts w:ascii="仿宋_GB2312" w:hAnsi="仿宋_GB2312" w:cs="仿宋_GB2312" w:eastAsia="仿宋_GB2312"/>
        </w:rPr>
        <w:t>10、联合体要求：本项目不接受联合体投标（提供承诺书）；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陕西省铜川公路管理局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铜川市新区铁诺南路1号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陕西省铜川公路管理局经办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0919-3385116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029-86116776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代理服务费收费标准：中标（成交）人以中标（成交）金额为基数，参照国家计委颁发的《招标代理服务收费管理暂行办法》（计价格[2002]1980 号）和国家发展改革委员会办公厅颁发的《关于招标代理服务收费有关问题的通知》（发改办价格[2003] 857 号）的有关规定下浮20%向采购代理机构一次付清代理服务费。 注：转账需备注项目名称+招标代理服务费。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陕西省铜川公路管理局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陕西省铜川公路管理局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陕西省铜川公路管理局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①按招标文件、投标响应文件等技术指标进行验收。各项指标均应符合验收标准及要求。 ②验收合格后，填写验收单，双方签字生效。</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联系电话：029-86116776</w:t>
      </w:r>
    </w:p>
    <w:p>
      <w:pPr>
        <w:pStyle w:val="null3"/>
      </w:pPr>
      <w:r>
        <w:rPr>
          <w:rFonts w:ascii="仿宋_GB2312" w:hAnsi="仿宋_GB2312" w:cs="仿宋_GB2312" w:eastAsia="仿宋_GB2312"/>
        </w:rPr>
        <w:t>地址：西安经济技术开发区凤城十二路首创·禧悦里25栋A座16层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铜川市宜君县境内210 国道，弯急陡坡较多，每逢冬季降雪对道路的正常通行影响较大，为加强冬季除雪能力，亟需购置专用冬季除雪应急设备以提升冬季国道通行效能。具体详见采购需求。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其他专用车辆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标的名称：其他专用车辆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1.</w:t>
            </w:r>
            <w:r>
              <w:rPr>
                <w:rFonts w:ascii="仿宋_GB2312" w:hAnsi="仿宋_GB2312" w:cs="仿宋_GB2312" w:eastAsia="仿宋_GB2312"/>
                <w:sz w:val="28"/>
                <w:b/>
              </w:rPr>
              <w:t>采购内容</w:t>
            </w:r>
          </w:p>
          <w:tbl>
            <w:tblPr>
              <w:tblInd w:type="dxa" w:w="135"/>
              <w:tblBorders>
                <w:top w:val="none" w:color="000000" w:sz="4"/>
                <w:left w:val="none" w:color="000000" w:sz="4"/>
                <w:bottom w:val="none" w:color="000000" w:sz="4"/>
                <w:right w:val="none" w:color="000000" w:sz="4"/>
                <w:insideH w:val="none"/>
                <w:insideV w:val="none"/>
              </w:tblBorders>
            </w:tblPr>
            <w:tblGrid>
              <w:gridCol w:w="312"/>
              <w:gridCol w:w="539"/>
              <w:gridCol w:w="841"/>
              <w:gridCol w:w="476"/>
              <w:gridCol w:w="372"/>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标的名称</w:t>
                  </w:r>
                </w:p>
              </w:tc>
              <w:tc>
                <w:tcPr>
                  <w:tcW w:type="dxa" w:w="8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商品名称</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计量</w:t>
                  </w:r>
                </w:p>
                <w:p>
                  <w:pPr>
                    <w:pStyle w:val="null3"/>
                    <w:jc w:val="center"/>
                  </w:pPr>
                  <w:r>
                    <w:rPr>
                      <w:rFonts w:ascii="仿宋_GB2312" w:hAnsi="仿宋_GB2312" w:cs="仿宋_GB2312" w:eastAsia="仿宋_GB2312"/>
                      <w:sz w:val="24"/>
                    </w:rPr>
                    <w:t>单位</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铜川公路管理局</w:t>
                  </w:r>
                  <w:r>
                    <w:rPr>
                      <w:rFonts w:ascii="仿宋_GB2312" w:hAnsi="仿宋_GB2312" w:cs="仿宋_GB2312" w:eastAsia="仿宋_GB2312"/>
                      <w:sz w:val="24"/>
                    </w:rPr>
                    <w:t>2025</w:t>
                  </w:r>
                  <w:r>
                    <w:rPr>
                      <w:rFonts w:ascii="仿宋_GB2312" w:hAnsi="仿宋_GB2312" w:cs="仿宋_GB2312" w:eastAsia="仿宋_GB2312"/>
                      <w:sz w:val="24"/>
                    </w:rPr>
                    <w:t>年冬季除雪应急设备购置</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洗扫</w:t>
                  </w:r>
                  <w:r>
                    <w:rPr>
                      <w:rFonts w:ascii="仿宋_GB2312" w:hAnsi="仿宋_GB2312" w:cs="仿宋_GB2312" w:eastAsia="仿宋_GB2312"/>
                      <w:sz w:val="24"/>
                    </w:rPr>
                    <w:t>车</w:t>
                  </w:r>
                  <w:r>
                    <w:rPr>
                      <w:rFonts w:ascii="仿宋_GB2312" w:hAnsi="仿宋_GB2312" w:cs="仿宋_GB2312" w:eastAsia="仿宋_GB2312"/>
                      <w:sz w:val="24"/>
                    </w:rPr>
                    <w:t>（加装前置除雪滚刷）</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12"/>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自卸汽车</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12"/>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撒布机</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12"/>
                  <w:vMerge/>
                  <w:tcBorders>
                    <w:top w:val="none" w:color="000000" w:sz="4"/>
                    <w:left w:val="single" w:color="000000" w:sz="4"/>
                    <w:bottom w:val="single" w:color="000000" w:sz="4"/>
                    <w:right w:val="single" w:color="000000" w:sz="4"/>
                  </w:tcBorders>
                </w:tcPr>
                <w:p/>
              </w:tc>
              <w:tc>
                <w:tcPr>
                  <w:tcW w:type="dxa" w:w="539"/>
                  <w:vMerge/>
                  <w:tcBorders>
                    <w:top w:val="none" w:color="000000" w:sz="4"/>
                    <w:left w:val="single" w:color="000000" w:sz="4"/>
                    <w:bottom w:val="single" w:color="000000" w:sz="4"/>
                    <w:right w:val="single" w:color="000000" w:sz="4"/>
                  </w:tcBorders>
                </w:tcP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除雪铲</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技术参数要求</w:t>
            </w:r>
          </w:p>
          <w:p>
            <w:pPr>
              <w:pStyle w:val="null3"/>
              <w:jc w:val="center"/>
            </w:pPr>
            <w:r>
              <w:rPr>
                <w:rFonts w:ascii="仿宋_GB2312" w:hAnsi="仿宋_GB2312" w:cs="仿宋_GB2312" w:eastAsia="仿宋_GB2312"/>
                <w:sz w:val="24"/>
                <w:b/>
              </w:rPr>
              <w:t>洗扫</w:t>
            </w:r>
            <w:r>
              <w:rPr>
                <w:rFonts w:ascii="仿宋_GB2312" w:hAnsi="仿宋_GB2312" w:cs="仿宋_GB2312" w:eastAsia="仿宋_GB2312"/>
                <w:sz w:val="24"/>
                <w:b/>
              </w:rPr>
              <w:t>车</w:t>
            </w:r>
            <w:r>
              <w:rPr>
                <w:rFonts w:ascii="仿宋_GB2312" w:hAnsi="仿宋_GB2312" w:cs="仿宋_GB2312" w:eastAsia="仿宋_GB2312"/>
                <w:sz w:val="24"/>
                <w:b/>
              </w:rPr>
              <w:t>（加装前置除雪滚刷）</w:t>
            </w:r>
            <w:r>
              <w:rPr>
                <w:rFonts w:ascii="仿宋_GB2312" w:hAnsi="仿宋_GB2312" w:cs="仿宋_GB2312" w:eastAsia="仿宋_GB2312"/>
                <w:sz w:val="24"/>
                <w:b/>
              </w:rPr>
              <w:t>—</w:t>
            </w:r>
            <w:r>
              <w:rPr>
                <w:rFonts w:ascii="仿宋_GB2312" w:hAnsi="仿宋_GB2312" w:cs="仿宋_GB2312" w:eastAsia="仿宋_GB2312"/>
                <w:sz w:val="24"/>
                <w:b/>
              </w:rPr>
              <w:t>技术要求</w:t>
            </w:r>
          </w:p>
          <w:tbl>
            <w:tblPr>
              <w:tblBorders>
                <w:top w:val="none" w:color="000000" w:sz="4"/>
                <w:left w:val="none" w:color="000000" w:sz="4"/>
                <w:bottom w:val="none" w:color="000000" w:sz="4"/>
                <w:right w:val="none" w:color="000000" w:sz="4"/>
                <w:insideH w:val="none"/>
                <w:insideV w:val="none"/>
              </w:tblBorders>
            </w:tblPr>
            <w:tblGrid>
              <w:gridCol w:w="319"/>
              <w:gridCol w:w="2230"/>
            </w:tblGrid>
            <w:tr>
              <w:tc>
                <w:tcPr>
                  <w:tcW w:type="dxa" w:w="3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主要技术参数要求</w:t>
                  </w:r>
                </w:p>
                <w:p>
                  <w:pPr>
                    <w:pStyle w:val="null3"/>
                    <w:jc w:val="both"/>
                  </w:pPr>
                </w:p>
              </w:tc>
              <w:tc>
                <w:tcPr>
                  <w:tcW w:type="dxa" w:w="2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底盘发动机功率</w:t>
                  </w:r>
                  <w:r>
                    <w:rPr>
                      <w:rFonts w:ascii="仿宋_GB2312" w:hAnsi="仿宋_GB2312" w:cs="仿宋_GB2312" w:eastAsia="仿宋_GB2312"/>
                      <w:sz w:val="24"/>
                    </w:rPr>
                    <w:t>＞</w:t>
                  </w:r>
                  <w:r>
                    <w:rPr>
                      <w:rFonts w:ascii="仿宋_GB2312" w:hAnsi="仿宋_GB2312" w:cs="仿宋_GB2312" w:eastAsia="仿宋_GB2312"/>
                      <w:sz w:val="24"/>
                    </w:rPr>
                    <w:t>165kw</w:t>
                  </w:r>
                  <w:r>
                    <w:rPr>
                      <w:rFonts w:ascii="仿宋_GB2312" w:hAnsi="仿宋_GB2312" w:cs="仿宋_GB2312" w:eastAsia="仿宋_GB2312"/>
                      <w:sz w:val="21"/>
                    </w:rPr>
                    <w:t xml:space="preserve"> </w:t>
                  </w:r>
                  <w:r>
                    <w:rPr>
                      <w:rFonts w:ascii="仿宋_GB2312" w:hAnsi="仿宋_GB2312" w:cs="仿宋_GB2312" w:eastAsia="仿宋_GB2312"/>
                      <w:sz w:val="24"/>
                    </w:rPr>
                    <w:t>国六排放标准</w:t>
                  </w:r>
                  <w:r>
                    <w:rPr>
                      <w:rFonts w:ascii="仿宋_GB2312" w:hAnsi="仿宋_GB2312" w:cs="仿宋_GB2312" w:eastAsia="仿宋_GB2312"/>
                      <w:sz w:val="21"/>
                    </w:rPr>
                    <w:t xml:space="preserve"> </w:t>
                  </w:r>
                </w:p>
              </w:tc>
            </w:tr>
            <w:tr>
              <w:tc>
                <w:tcPr>
                  <w:tcW w:type="dxa" w:w="319"/>
                  <w:vMerge/>
                  <w:tcBorders>
                    <w:top w:val="single" w:color="000000" w:sz="4"/>
                    <w:left w:val="single" w:color="000000" w:sz="4"/>
                    <w:bottom w:val="single" w:color="000000" w:sz="4"/>
                    <w:right w:val="single" w:color="000000" w:sz="4"/>
                  </w:tcBorders>
                </w:tcP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2.副发动机功率≥116kw  国四排放标准</w:t>
                  </w:r>
                </w:p>
              </w:tc>
            </w:tr>
            <w:tr>
              <w:tc>
                <w:tcPr>
                  <w:tcW w:type="dxa" w:w="319"/>
                  <w:vMerge/>
                  <w:tcBorders>
                    <w:top w:val="single" w:color="000000" w:sz="4"/>
                    <w:left w:val="single" w:color="000000" w:sz="4"/>
                    <w:bottom w:val="single" w:color="000000" w:sz="4"/>
                    <w:right w:val="single" w:color="000000" w:sz="4"/>
                  </w:tcBorders>
                </w:tcP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3.路面洗扫宽度（</w:t>
                  </w:r>
                  <w:r>
                    <w:rPr>
                      <w:rFonts w:ascii="仿宋_GB2312" w:hAnsi="仿宋_GB2312" w:cs="仿宋_GB2312" w:eastAsia="仿宋_GB2312"/>
                      <w:sz w:val="24"/>
                      <w:color w:val="000000"/>
                    </w:rPr>
                    <w:t>不含路缘清洗宽度</w:t>
                  </w:r>
                  <w:r>
                    <w:rPr>
                      <w:rFonts w:ascii="仿宋_GB2312" w:hAnsi="仿宋_GB2312" w:cs="仿宋_GB2312" w:eastAsia="仿宋_GB2312"/>
                      <w:sz w:val="24"/>
                      <w:color w:val="000000"/>
                    </w:rPr>
                    <w:t>）</w:t>
                  </w:r>
                  <w:r>
                    <w:rPr>
                      <w:rFonts w:ascii="仿宋_GB2312" w:hAnsi="仿宋_GB2312" w:cs="仿宋_GB2312" w:eastAsia="仿宋_GB2312"/>
                      <w:sz w:val="24"/>
                    </w:rPr>
                    <w:t>＞</w:t>
                  </w:r>
                  <w:r>
                    <w:rPr>
                      <w:rFonts w:ascii="仿宋_GB2312" w:hAnsi="仿宋_GB2312" w:cs="仿宋_GB2312" w:eastAsia="仿宋_GB2312"/>
                      <w:sz w:val="24"/>
                      <w:color w:val="000000"/>
                    </w:rPr>
                    <w:t>3.4m</w:t>
                  </w:r>
                </w:p>
              </w:tc>
            </w:tr>
            <w:tr>
              <w:tc>
                <w:tcPr>
                  <w:tcW w:type="dxa" w:w="319"/>
                  <w:vMerge/>
                  <w:tcBorders>
                    <w:top w:val="single" w:color="000000" w:sz="4"/>
                    <w:left w:val="single" w:color="000000" w:sz="4"/>
                    <w:bottom w:val="single" w:color="000000" w:sz="4"/>
                    <w:right w:val="single" w:color="000000" w:sz="4"/>
                  </w:tcBorders>
                </w:tcP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rPr>
                    <w:t>★</w:t>
                  </w:r>
                  <w:r>
                    <w:rPr>
                      <w:rFonts w:ascii="仿宋_GB2312" w:hAnsi="仿宋_GB2312" w:cs="仿宋_GB2312" w:eastAsia="仿宋_GB2312"/>
                      <w:sz w:val="24"/>
                      <w:color w:val="000000"/>
                    </w:rPr>
                    <w:t>高压水泵额定压力</w:t>
                  </w:r>
                  <w:r>
                    <w:rPr>
                      <w:rFonts w:ascii="仿宋_GB2312" w:hAnsi="仿宋_GB2312" w:cs="仿宋_GB2312" w:eastAsia="仿宋_GB2312"/>
                      <w:sz w:val="24"/>
                      <w:color w:val="000000"/>
                    </w:rPr>
                    <w:t>≥9Mpa</w:t>
                  </w:r>
                </w:p>
              </w:tc>
            </w:tr>
            <w:tr>
              <w:tc>
                <w:tcPr>
                  <w:tcW w:type="dxa" w:w="319"/>
                  <w:vMerge/>
                  <w:tcBorders>
                    <w:top w:val="single" w:color="000000" w:sz="4"/>
                    <w:left w:val="single" w:color="000000" w:sz="4"/>
                    <w:bottom w:val="single" w:color="000000" w:sz="4"/>
                    <w:right w:val="single" w:color="000000" w:sz="4"/>
                  </w:tcBorders>
                </w:tcP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5.高压水泵额定流量≥140L/min</w:t>
                  </w:r>
                </w:p>
              </w:tc>
            </w:tr>
            <w:tr>
              <w:tc>
                <w:tcPr>
                  <w:tcW w:type="dxa" w:w="319"/>
                  <w:vMerge/>
                  <w:tcBorders>
                    <w:top w:val="single" w:color="000000" w:sz="4"/>
                    <w:left w:val="single" w:color="000000" w:sz="4"/>
                    <w:bottom w:val="single" w:color="000000" w:sz="4"/>
                    <w:right w:val="single" w:color="000000" w:sz="4"/>
                  </w:tcBorders>
                </w:tcP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6.垃圾箱容积≥6m³</w:t>
                  </w:r>
                </w:p>
              </w:tc>
            </w:tr>
            <w:tr>
              <w:tc>
                <w:tcPr>
                  <w:tcW w:type="dxa" w:w="319"/>
                  <w:vMerge/>
                  <w:tcBorders>
                    <w:top w:val="single" w:color="000000" w:sz="4"/>
                    <w:left w:val="single" w:color="000000" w:sz="4"/>
                    <w:bottom w:val="single" w:color="000000" w:sz="4"/>
                    <w:right w:val="single" w:color="000000" w:sz="4"/>
                  </w:tcBorders>
                </w:tcP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7.清水箱容积≥9m³</w:t>
                  </w:r>
                </w:p>
              </w:tc>
            </w:tr>
            <w:tr>
              <w:tc>
                <w:tcPr>
                  <w:tcW w:type="dxa" w:w="319"/>
                  <w:vMerge/>
                  <w:tcBorders>
                    <w:top w:val="single" w:color="000000" w:sz="4"/>
                    <w:left w:val="single" w:color="000000" w:sz="4"/>
                    <w:bottom w:val="single" w:color="000000" w:sz="4"/>
                    <w:right w:val="single" w:color="000000" w:sz="4"/>
                  </w:tcBorders>
                </w:tcP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rPr>
                    <w:t>整车</w:t>
                  </w:r>
                  <w:r>
                    <w:rPr>
                      <w:rFonts w:ascii="仿宋_GB2312" w:hAnsi="仿宋_GB2312" w:cs="仿宋_GB2312" w:eastAsia="仿宋_GB2312"/>
                      <w:sz w:val="24"/>
                      <w:color w:val="000000"/>
                    </w:rPr>
                    <w:t>最大总质量</w:t>
                  </w:r>
                  <w:r>
                    <w:rPr>
                      <w:rFonts w:ascii="仿宋_GB2312" w:hAnsi="仿宋_GB2312" w:cs="仿宋_GB2312" w:eastAsia="仿宋_GB2312"/>
                      <w:sz w:val="24"/>
                      <w:color w:val="000000"/>
                    </w:rPr>
                    <w:t>≥18000kg（以国家工信部的汽车产品公告参数页数据为准）</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主要技术性能要求</w:t>
                  </w:r>
                </w:p>
              </w:tc>
              <w:tc>
                <w:tcPr>
                  <w:tcW w:type="dxa" w:w="2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1.洗扫车须具有路面</w:t>
                  </w:r>
                  <w:r>
                    <w:rPr>
                      <w:rFonts w:ascii="仿宋_GB2312" w:hAnsi="仿宋_GB2312" w:cs="仿宋_GB2312" w:eastAsia="仿宋_GB2312"/>
                      <w:sz w:val="24"/>
                    </w:rPr>
                    <w:t>高压</w:t>
                  </w:r>
                  <w:r>
                    <w:rPr>
                      <w:rFonts w:ascii="仿宋_GB2312" w:hAnsi="仿宋_GB2312" w:cs="仿宋_GB2312" w:eastAsia="仿宋_GB2312"/>
                      <w:sz w:val="24"/>
                    </w:rPr>
                    <w:t>清洗、路面清扫、路缘清洗、路缘和路缘石立面洗刷、低压冲洗等多种功能。</w:t>
                  </w:r>
                </w:p>
                <w:p>
                  <w:pPr>
                    <w:pStyle w:val="null3"/>
                    <w:jc w:val="both"/>
                  </w:pPr>
                  <w:r>
                    <w:rPr>
                      <w:rFonts w:ascii="仿宋_GB2312" w:hAnsi="仿宋_GB2312" w:cs="仿宋_GB2312" w:eastAsia="仿宋_GB2312"/>
                      <w:sz w:val="24"/>
                    </w:rPr>
                    <w:t>2.★洗扫车的清扫</w:t>
                  </w:r>
                  <w:r>
                    <w:rPr>
                      <w:rFonts w:ascii="仿宋_GB2312" w:hAnsi="仿宋_GB2312" w:cs="仿宋_GB2312" w:eastAsia="仿宋_GB2312"/>
                      <w:sz w:val="24"/>
                    </w:rPr>
                    <w:t>装置</w:t>
                  </w:r>
                  <w:r>
                    <w:rPr>
                      <w:rFonts w:ascii="仿宋_GB2312" w:hAnsi="仿宋_GB2312" w:cs="仿宋_GB2312" w:eastAsia="仿宋_GB2312"/>
                      <w:sz w:val="24"/>
                    </w:rPr>
                    <w:t>须采用</w:t>
                  </w:r>
                  <w:r>
                    <w:rPr>
                      <w:rFonts w:ascii="仿宋_GB2312" w:hAnsi="仿宋_GB2312" w:cs="仿宋_GB2312" w:eastAsia="仿宋_GB2312"/>
                      <w:sz w:val="24"/>
                    </w:rPr>
                    <w:t>“中置两立扫＋中置宽吸嘴+</w:t>
                  </w:r>
                  <w:r>
                    <w:rPr>
                      <w:rFonts w:ascii="仿宋_GB2312" w:hAnsi="仿宋_GB2312" w:cs="仿宋_GB2312" w:eastAsia="仿宋_GB2312"/>
                      <w:sz w:val="24"/>
                    </w:rPr>
                    <w:t>吸嘴高压中喷杆</w:t>
                  </w:r>
                  <w:r>
                    <w:rPr>
                      <w:rFonts w:ascii="仿宋_GB2312" w:hAnsi="仿宋_GB2312" w:cs="仿宋_GB2312" w:eastAsia="仿宋_GB2312"/>
                      <w:sz w:val="24"/>
                    </w:rPr>
                    <w:t>＋左、右高压侧喷杆</w:t>
                  </w:r>
                  <w:r>
                    <w:rPr>
                      <w:rFonts w:ascii="仿宋_GB2312" w:hAnsi="仿宋_GB2312" w:cs="仿宋_GB2312" w:eastAsia="仿宋_GB2312"/>
                      <w:sz w:val="24"/>
                    </w:rPr>
                    <w:t>”的工作</w:t>
                  </w:r>
                  <w:r>
                    <w:rPr>
                      <w:rFonts w:ascii="仿宋_GB2312" w:hAnsi="仿宋_GB2312" w:cs="仿宋_GB2312" w:eastAsia="仿宋_GB2312"/>
                      <w:sz w:val="24"/>
                    </w:rPr>
                    <w:t>结构</w:t>
                  </w:r>
                  <w:r>
                    <w:rPr>
                      <w:rFonts w:ascii="仿宋_GB2312" w:hAnsi="仿宋_GB2312" w:cs="仿宋_GB2312" w:eastAsia="仿宋_GB2312"/>
                      <w:sz w:val="24"/>
                    </w:rPr>
                    <w:t>装置。</w:t>
                  </w:r>
                </w:p>
                <w:p>
                  <w:pPr>
                    <w:pStyle w:val="null3"/>
                    <w:jc w:val="both"/>
                  </w:pPr>
                  <w:r>
                    <w:rPr>
                      <w:rFonts w:ascii="仿宋_GB2312" w:hAnsi="仿宋_GB2312" w:cs="仿宋_GB2312" w:eastAsia="仿宋_GB2312"/>
                      <w:sz w:val="24"/>
                    </w:rPr>
                    <w:t>3.★洗扫车</w:t>
                  </w:r>
                  <w:r>
                    <w:rPr>
                      <w:rFonts w:ascii="仿宋_GB2312" w:hAnsi="仿宋_GB2312" w:cs="仿宋_GB2312" w:eastAsia="仿宋_GB2312"/>
                      <w:sz w:val="24"/>
                      <w:color w:val="000000"/>
                    </w:rPr>
                    <w:t>须</w:t>
                  </w:r>
                  <w:r>
                    <w:rPr>
                      <w:rFonts w:ascii="仿宋_GB2312" w:hAnsi="仿宋_GB2312" w:cs="仿宋_GB2312" w:eastAsia="仿宋_GB2312"/>
                      <w:sz w:val="24"/>
                    </w:rPr>
                    <w:t>采用超宽吸嘴，吸嘴总宽</w:t>
                  </w:r>
                  <w:r>
                    <w:rPr>
                      <w:rFonts w:ascii="仿宋_GB2312" w:hAnsi="仿宋_GB2312" w:cs="仿宋_GB2312" w:eastAsia="仿宋_GB2312"/>
                      <w:sz w:val="24"/>
                      <w:color w:val="000000"/>
                    </w:rPr>
                    <w:t>不小于</w:t>
                  </w:r>
                  <w:r>
                    <w:rPr>
                      <w:rFonts w:ascii="仿宋_GB2312" w:hAnsi="仿宋_GB2312" w:cs="仿宋_GB2312" w:eastAsia="仿宋_GB2312"/>
                      <w:sz w:val="24"/>
                    </w:rPr>
                    <w:t>2400mm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rPr>
                    <w:t>洗扫车</w:t>
                  </w:r>
                  <w:r>
                    <w:rPr>
                      <w:rFonts w:ascii="仿宋_GB2312" w:hAnsi="仿宋_GB2312" w:cs="仿宋_GB2312" w:eastAsia="仿宋_GB2312"/>
                      <w:sz w:val="24"/>
                      <w:color w:val="000000"/>
                    </w:rPr>
                    <w:t>左、右扫盘须采用由单根油缸控制升降和外摆的清洗和扫路两用扫盘，该两用扫盘还须具有防碰撞避让功能。</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rPr>
                    <w:t>洗扫车</w:t>
                  </w:r>
                  <w:r>
                    <w:rPr>
                      <w:rFonts w:ascii="仿宋_GB2312" w:hAnsi="仿宋_GB2312" w:cs="仿宋_GB2312" w:eastAsia="仿宋_GB2312"/>
                      <w:sz w:val="24"/>
                      <w:color w:val="000000"/>
                    </w:rPr>
                    <w:t>须带有彩色视频后视系统。车辆后部装摄像头，摄像头监控画面须显示在驾驶室的操控屏上。作业时，操作者在驾驶室内可监视清扫作业效果。</w:t>
                  </w:r>
                </w:p>
                <w:p>
                  <w:pPr>
                    <w:pStyle w:val="null3"/>
                    <w:jc w:val="left"/>
                  </w:pPr>
                  <w:r>
                    <w:rPr>
                      <w:rFonts w:ascii="仿宋_GB2312" w:hAnsi="仿宋_GB2312" w:cs="仿宋_GB2312" w:eastAsia="仿宋_GB2312"/>
                      <w:sz w:val="24"/>
                      <w:color w:val="000000"/>
                    </w:rPr>
                    <w:t>6.垃圾箱体须采用不锈钢瓦棱结构；垃圾箱内须设有高压清洗自洁装置，底板采用大平面斜置底板。</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rPr>
                    <w:t>★</w:t>
                  </w:r>
                  <w:r>
                    <w:rPr>
                      <w:rFonts w:ascii="仿宋_GB2312" w:hAnsi="仿宋_GB2312" w:cs="仿宋_GB2312" w:eastAsia="仿宋_GB2312"/>
                      <w:sz w:val="24"/>
                      <w:color w:val="000000"/>
                    </w:rPr>
                    <w:t>洗扫车须采用</w:t>
                  </w:r>
                  <w:r>
                    <w:rPr>
                      <w:rFonts w:ascii="仿宋_GB2312" w:hAnsi="仿宋_GB2312" w:cs="仿宋_GB2312" w:eastAsia="仿宋_GB2312"/>
                      <w:sz w:val="24"/>
                      <w:color w:val="000000"/>
                    </w:rPr>
                    <w:t>“操控屏+控制器+CAN总线操作面板”的控制模式。作业起动和作业停止、副发动机转速控制、吸嘴升降、扫盘收放、左右喷杆收放等作业装置全由一键控制，操作简便。</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rPr>
                    <w:t>★</w:t>
                  </w:r>
                  <w:r>
                    <w:rPr>
                      <w:rFonts w:ascii="仿宋_GB2312" w:hAnsi="仿宋_GB2312" w:cs="仿宋_GB2312" w:eastAsia="仿宋_GB2312"/>
                      <w:sz w:val="24"/>
                      <w:color w:val="000000"/>
                    </w:rPr>
                    <w:t>洗扫车作业模式须设置全扫、左扫、右扫、全洗扫、左洗扫、右洗扫、全洗、左洗、右洗等共</w:t>
                  </w:r>
                  <w:r>
                    <w:rPr>
                      <w:rFonts w:ascii="仿宋_GB2312" w:hAnsi="仿宋_GB2312" w:cs="仿宋_GB2312" w:eastAsia="仿宋_GB2312"/>
                      <w:sz w:val="24"/>
                      <w:color w:val="000000"/>
                    </w:rPr>
                    <w:t>9种作业模式。可根据作业需要选择适合的作业模式进行清扫洗扫作业。作业模式选定后，一键启动作业。停止作业时，一键停机。</w:t>
                  </w:r>
                </w:p>
                <w:p>
                  <w:pPr>
                    <w:pStyle w:val="null3"/>
                    <w:jc w:val="left"/>
                  </w:pPr>
                  <w:r>
                    <w:rPr>
                      <w:rFonts w:ascii="仿宋_GB2312" w:hAnsi="仿宋_GB2312" w:cs="仿宋_GB2312" w:eastAsia="仿宋_GB2312"/>
                      <w:sz w:val="24"/>
                      <w:color w:val="000000"/>
                    </w:rPr>
                    <w:t>9.洗扫车须带有高压手持喷枪，配备不小于20米自动缠绕卷盘，可用来高压清洗道路污垢、广告牌等。</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4"/>
                      <w:color w:val="000000"/>
                    </w:rPr>
                    <w:t>10.洗扫车的清水箱须设置低水位传感器，垃圾箱设置高水位传感器，驾驶室内有语音报警，提示水位情况，方便操作者实时了解箱体内水位状态。</w:t>
                  </w:r>
                </w:p>
                <w:p>
                  <w:pPr>
                    <w:pStyle w:val="null3"/>
                    <w:jc w:val="left"/>
                  </w:pPr>
                  <w:r>
                    <w:rPr>
                      <w:rFonts w:ascii="仿宋_GB2312" w:hAnsi="仿宋_GB2312" w:cs="仿宋_GB2312" w:eastAsia="仿宋_GB2312"/>
                      <w:sz w:val="24"/>
                      <w:color w:val="000000"/>
                    </w:rPr>
                    <w:t>11.洗扫车左右两侧除配有可充当侧防护的清扫装置外，还配有符合国家强制标准的实体防护栏，能有效的保护燃油箱等重要部件，提高车辆的安全性。</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洗扫车</w:t>
                  </w:r>
                  <w:r>
                    <w:rPr>
                      <w:rFonts w:ascii="仿宋_GB2312" w:hAnsi="仿宋_GB2312" w:cs="仿宋_GB2312" w:eastAsia="仿宋_GB2312"/>
                      <w:sz w:val="24"/>
                    </w:rPr>
                    <w:t>前须加装除雪滚刷：</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除雪滚刷</w:t>
                  </w:r>
                  <w:r>
                    <w:rPr>
                      <w:rFonts w:ascii="仿宋_GB2312" w:hAnsi="仿宋_GB2312" w:cs="仿宋_GB2312" w:eastAsia="仿宋_GB2312"/>
                      <w:sz w:val="24"/>
                    </w:rPr>
                    <w:t>最大</w:t>
                  </w:r>
                  <w:r>
                    <w:rPr>
                      <w:rFonts w:ascii="仿宋_GB2312" w:hAnsi="仿宋_GB2312" w:cs="仿宋_GB2312" w:eastAsia="仿宋_GB2312"/>
                      <w:sz w:val="24"/>
                    </w:rPr>
                    <w:t>除雪宽度＞</w:t>
                  </w:r>
                  <w:r>
                    <w:rPr>
                      <w:rFonts w:ascii="仿宋_GB2312" w:hAnsi="仿宋_GB2312" w:cs="仿宋_GB2312" w:eastAsia="仿宋_GB2312"/>
                      <w:sz w:val="24"/>
                    </w:rPr>
                    <w:t>3000mm；</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除雪滚刷</w:t>
                  </w:r>
                  <w:r>
                    <w:rPr>
                      <w:rFonts w:ascii="仿宋_GB2312" w:hAnsi="仿宋_GB2312" w:cs="仿宋_GB2312" w:eastAsia="仿宋_GB2312"/>
                      <w:sz w:val="24"/>
                    </w:rPr>
                    <w:t>刷毛直径</w:t>
                  </w:r>
                  <w:r>
                    <w:rPr>
                      <w:rFonts w:ascii="仿宋_GB2312" w:hAnsi="仿宋_GB2312" w:cs="仿宋_GB2312" w:eastAsia="仿宋_GB2312"/>
                      <w:sz w:val="24"/>
                    </w:rPr>
                    <w:t>＞</w:t>
                  </w:r>
                  <w:r>
                    <w:rPr>
                      <w:rFonts w:ascii="仿宋_GB2312" w:hAnsi="仿宋_GB2312" w:cs="仿宋_GB2312" w:eastAsia="仿宋_GB2312"/>
                      <w:sz w:val="24"/>
                    </w:rPr>
                    <w:t>800mm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除雪滚刷转速</w:t>
                  </w:r>
                  <w:r>
                    <w:rPr>
                      <w:rFonts w:ascii="仿宋_GB2312" w:hAnsi="仿宋_GB2312" w:cs="仿宋_GB2312" w:eastAsia="仿宋_GB2312"/>
                      <w:sz w:val="24"/>
                    </w:rPr>
                    <w:t>≥250r/min；</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除雪滚刷</w:t>
                  </w:r>
                  <w:r>
                    <w:rPr>
                      <w:rFonts w:ascii="仿宋_GB2312" w:hAnsi="仿宋_GB2312" w:cs="仿宋_GB2312" w:eastAsia="仿宋_GB2312"/>
                      <w:sz w:val="24"/>
                    </w:rPr>
                    <w:t>的</w:t>
                  </w:r>
                  <w:r>
                    <w:rPr>
                      <w:rFonts w:ascii="仿宋_GB2312" w:hAnsi="仿宋_GB2312" w:cs="仿宋_GB2312" w:eastAsia="仿宋_GB2312"/>
                      <w:sz w:val="24"/>
                    </w:rPr>
                    <w:t>动力须由洗扫车的副发动机提供，从而保证车辆在冬季除雪作业时动力强劲，不受影响。</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除雪滚刷须采用</w:t>
                  </w:r>
                  <w:r>
                    <w:rPr>
                      <w:rFonts w:ascii="仿宋_GB2312" w:hAnsi="仿宋_GB2312" w:cs="仿宋_GB2312" w:eastAsia="仿宋_GB2312"/>
                      <w:sz w:val="24"/>
                    </w:rPr>
                    <w:t>双液压马达直驱，马达直接驱动芯轴转动，</w:t>
                  </w:r>
                  <w:r>
                    <w:rPr>
                      <w:rFonts w:ascii="仿宋_GB2312" w:hAnsi="仿宋_GB2312" w:cs="仿宋_GB2312" w:eastAsia="仿宋_GB2312"/>
                      <w:sz w:val="24"/>
                    </w:rPr>
                    <w:t>除雪效率高；</w:t>
                  </w:r>
                  <w:r>
                    <w:rPr>
                      <w:rFonts w:ascii="仿宋_GB2312" w:hAnsi="仿宋_GB2312" w:cs="仿宋_GB2312" w:eastAsia="仿宋_GB2312"/>
                      <w:sz w:val="24"/>
                    </w:rPr>
                    <w:t>马达与芯轴</w:t>
                  </w:r>
                  <w:r>
                    <w:rPr>
                      <w:rFonts w:ascii="仿宋_GB2312" w:hAnsi="仿宋_GB2312" w:cs="仿宋_GB2312" w:eastAsia="仿宋_GB2312"/>
                      <w:sz w:val="24"/>
                    </w:rPr>
                    <w:t>须</w:t>
                  </w:r>
                  <w:r>
                    <w:rPr>
                      <w:rFonts w:ascii="仿宋_GB2312" w:hAnsi="仿宋_GB2312" w:cs="仿宋_GB2312" w:eastAsia="仿宋_GB2312"/>
                      <w:sz w:val="24"/>
                    </w:rPr>
                    <w:t>采用柔性连接，</w:t>
                  </w:r>
                  <w:r>
                    <w:rPr>
                      <w:rFonts w:ascii="仿宋_GB2312" w:hAnsi="仿宋_GB2312" w:cs="仿宋_GB2312" w:eastAsia="仿宋_GB2312"/>
                      <w:sz w:val="24"/>
                    </w:rPr>
                    <w:t>具有</w:t>
                  </w:r>
                  <w:r>
                    <w:rPr>
                      <w:rFonts w:ascii="仿宋_GB2312" w:hAnsi="仿宋_GB2312" w:cs="仿宋_GB2312" w:eastAsia="仿宋_GB2312"/>
                      <w:sz w:val="24"/>
                    </w:rPr>
                    <w:t>缓冲、减震</w:t>
                  </w:r>
                  <w:r>
                    <w:rPr>
                      <w:rFonts w:ascii="仿宋_GB2312" w:hAnsi="仿宋_GB2312" w:cs="仿宋_GB2312" w:eastAsia="仿宋_GB2312"/>
                      <w:sz w:val="24"/>
                    </w:rPr>
                    <w:t>的效果</w:t>
                  </w:r>
                  <w:r>
                    <w:rPr>
                      <w:rFonts w:ascii="仿宋_GB2312" w:hAnsi="仿宋_GB2312" w:cs="仿宋_GB2312" w:eastAsia="仿宋_GB2312"/>
                      <w:sz w:val="24"/>
                    </w:rPr>
                    <w:t>；</w:t>
                  </w:r>
                  <w:r>
                    <w:rPr>
                      <w:rFonts w:ascii="仿宋_GB2312" w:hAnsi="仿宋_GB2312" w:cs="仿宋_GB2312" w:eastAsia="仿宋_GB2312"/>
                      <w:sz w:val="24"/>
                    </w:rPr>
                    <w:t>马达两侧须配备防碰撞装置。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除雪滚刷须具有浮动功能</w:t>
                  </w:r>
                  <w:r>
                    <w:rPr>
                      <w:rFonts w:ascii="仿宋_GB2312" w:hAnsi="仿宋_GB2312" w:cs="仿宋_GB2312" w:eastAsia="仿宋_GB2312"/>
                      <w:sz w:val="24"/>
                    </w:rPr>
                    <w:t>和自适应路面功能</w:t>
                  </w:r>
                  <w:r>
                    <w:rPr>
                      <w:rFonts w:ascii="仿宋_GB2312" w:hAnsi="仿宋_GB2312" w:cs="仿宋_GB2312" w:eastAsia="仿宋_GB2312"/>
                      <w:sz w:val="24"/>
                    </w:rPr>
                    <w:t>，能左右</w:t>
                  </w:r>
                  <w:r>
                    <w:rPr>
                      <w:rFonts w:ascii="仿宋_GB2312" w:hAnsi="仿宋_GB2312" w:cs="仿宋_GB2312" w:eastAsia="仿宋_GB2312"/>
                      <w:sz w:val="24"/>
                    </w:rPr>
                    <w:t>30°偏转</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.除雪滚刷整体须采用框架结构，强度高，可靠性高。除雪滚刷支撑轮须采用重载充气轮胎，支撑轮须具有自动回正功能。</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.前置除雪滚刷与底盘车连接须采用驶入式挂接式连接，通过</w:t>
                  </w:r>
                  <w:r>
                    <w:rPr>
                      <w:rFonts w:ascii="仿宋_GB2312" w:hAnsi="仿宋_GB2312" w:cs="仿宋_GB2312" w:eastAsia="仿宋_GB2312"/>
                      <w:sz w:val="24"/>
                    </w:rPr>
                    <w:t>洗扫车</w:t>
                  </w:r>
                  <w:r>
                    <w:rPr>
                      <w:rFonts w:ascii="仿宋_GB2312" w:hAnsi="仿宋_GB2312" w:cs="仿宋_GB2312" w:eastAsia="仿宋_GB2312"/>
                      <w:sz w:val="24"/>
                    </w:rPr>
                    <w:t>上的</w:t>
                  </w:r>
                  <w:r>
                    <w:rPr>
                      <w:rFonts w:ascii="仿宋_GB2312" w:hAnsi="仿宋_GB2312" w:cs="仿宋_GB2312" w:eastAsia="仿宋_GB2312"/>
                      <w:sz w:val="24"/>
                    </w:rPr>
                    <w:t>除雪滚刷液压系统驱动，不需要任何辅助工具，单人操作</w:t>
                  </w:r>
                  <w:r>
                    <w:rPr>
                      <w:rFonts w:ascii="仿宋_GB2312" w:hAnsi="仿宋_GB2312" w:cs="仿宋_GB2312" w:eastAsia="仿宋_GB2312"/>
                      <w:sz w:val="24"/>
                    </w:rPr>
                    <w:t>可</w:t>
                  </w:r>
                  <w:r>
                    <w:rPr>
                      <w:rFonts w:ascii="仿宋_GB2312" w:hAnsi="仿宋_GB2312" w:cs="仿宋_GB2312" w:eastAsia="仿宋_GB2312"/>
                      <w:sz w:val="24"/>
                    </w:rPr>
                    <w:t>在</w:t>
                  </w:r>
                  <w:r>
                    <w:rPr>
                      <w:rFonts w:ascii="仿宋_GB2312" w:hAnsi="仿宋_GB2312" w:cs="仿宋_GB2312" w:eastAsia="仿宋_GB2312"/>
                      <w:sz w:val="24"/>
                    </w:rPr>
                    <w:t>3～5分钟内完成安装和拆卸。</w:t>
                  </w:r>
                </w:p>
                <w:p>
                  <w:pPr>
                    <w:pStyle w:val="null3"/>
                    <w:spacing w:after="150"/>
                    <w:jc w:val="both"/>
                  </w:pPr>
                  <w:r>
                    <w:rPr>
                      <w:rFonts w:ascii="仿宋_GB2312" w:hAnsi="仿宋_GB2312" w:cs="仿宋_GB2312" w:eastAsia="仿宋_GB2312"/>
                      <w:sz w:val="24"/>
                    </w:rPr>
                    <w:t>18.洗扫车须</w:t>
                  </w:r>
                  <w:r>
                    <w:rPr>
                      <w:rFonts w:ascii="仿宋_GB2312" w:hAnsi="仿宋_GB2312" w:cs="仿宋_GB2312" w:eastAsia="仿宋_GB2312"/>
                      <w:sz w:val="24"/>
                    </w:rPr>
                    <w:t>提供国家工信部的《车辆公告》文件、《车辆购置税免征公告》文件。</w:t>
                  </w:r>
                </w:p>
              </w:tc>
            </w:tr>
          </w:tbl>
          <w:p>
            <w:pPr>
              <w:pStyle w:val="null3"/>
              <w:jc w:val="both"/>
            </w:pPr>
            <w:r>
              <w:rPr>
                <w:rFonts w:ascii="仿宋_GB2312" w:hAnsi="仿宋_GB2312" w:cs="仿宋_GB2312" w:eastAsia="仿宋_GB2312"/>
                <w:sz w:val="22"/>
                <w:b/>
                <w:color w:val="000000"/>
              </w:rPr>
              <w:t>注：带</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（星号）的为重要技术参数和技术性能要求</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b/>
              </w:rPr>
              <w:t>自卸汽车</w:t>
            </w: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底盘发动机功率</w:t>
            </w: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kw</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底盘发动机排量</w:t>
            </w:r>
            <w:r>
              <w:rPr>
                <w:rFonts w:ascii="仿宋_GB2312" w:hAnsi="仿宋_GB2312" w:cs="仿宋_GB2312" w:eastAsia="仿宋_GB2312"/>
                <w:sz w:val="24"/>
              </w:rPr>
              <w:t>≥2</w:t>
            </w:r>
            <w:r>
              <w:rPr>
                <w:rFonts w:ascii="仿宋_GB2312" w:hAnsi="仿宋_GB2312" w:cs="仿宋_GB2312" w:eastAsia="仿宋_GB2312"/>
                <w:sz w:val="24"/>
              </w:rPr>
              <w:t>771</w:t>
            </w:r>
            <w:r>
              <w:rPr>
                <w:rFonts w:ascii="仿宋_GB2312" w:hAnsi="仿宋_GB2312" w:cs="仿宋_GB2312" w:eastAsia="仿宋_GB2312"/>
                <w:sz w:val="24"/>
              </w:rPr>
              <w:t>ml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燃料种类</w:t>
            </w:r>
            <w:r>
              <w:rPr>
                <w:rFonts w:ascii="仿宋_GB2312" w:hAnsi="仿宋_GB2312" w:cs="仿宋_GB2312" w:eastAsia="仿宋_GB2312"/>
                <w:sz w:val="24"/>
              </w:rPr>
              <w:t>：</w:t>
            </w:r>
            <w:r>
              <w:rPr>
                <w:rFonts w:ascii="仿宋_GB2312" w:hAnsi="仿宋_GB2312" w:cs="仿宋_GB2312" w:eastAsia="仿宋_GB2312"/>
                <w:sz w:val="24"/>
              </w:rPr>
              <w:t>柴油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★驾驶室准乘人数</w:t>
            </w:r>
            <w:r>
              <w:rPr>
                <w:rFonts w:ascii="仿宋_GB2312" w:hAnsi="仿宋_GB2312" w:cs="仿宋_GB2312" w:eastAsia="仿宋_GB2312"/>
                <w:sz w:val="24"/>
              </w:rPr>
              <w:t>：</w:t>
            </w:r>
            <w:r>
              <w:rPr>
                <w:rFonts w:ascii="仿宋_GB2312" w:hAnsi="仿宋_GB2312" w:cs="仿宋_GB2312" w:eastAsia="仿宋_GB2312"/>
                <w:sz w:val="24"/>
              </w:rPr>
              <w:t>2+3人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★轮胎数</w:t>
            </w:r>
            <w:r>
              <w:rPr>
                <w:rFonts w:ascii="仿宋_GB2312" w:hAnsi="仿宋_GB2312" w:cs="仿宋_GB2312" w:eastAsia="仿宋_GB2312"/>
                <w:sz w:val="24"/>
              </w:rPr>
              <w:t>：</w:t>
            </w:r>
            <w:r>
              <w:rPr>
                <w:rFonts w:ascii="仿宋_GB2312" w:hAnsi="仿宋_GB2312" w:cs="仿宋_GB2312" w:eastAsia="仿宋_GB2312"/>
                <w:sz w:val="24"/>
              </w:rPr>
              <w:t>6个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6、额定载质量</w:t>
            </w:r>
            <w:r>
              <w:rPr>
                <w:rFonts w:ascii="仿宋_GB2312" w:hAnsi="仿宋_GB2312" w:cs="仿宋_GB2312" w:eastAsia="仿宋_GB2312"/>
                <w:sz w:val="24"/>
              </w:rPr>
              <w:t>≥</w:t>
            </w:r>
            <w:r>
              <w:rPr>
                <w:rFonts w:ascii="仿宋_GB2312" w:hAnsi="仿宋_GB2312" w:cs="仿宋_GB2312" w:eastAsia="仿宋_GB2312"/>
                <w:sz w:val="24"/>
              </w:rPr>
              <w:t>3250</w:t>
            </w:r>
            <w:r>
              <w:rPr>
                <w:rFonts w:ascii="仿宋_GB2312" w:hAnsi="仿宋_GB2312" w:cs="仿宋_GB2312" w:eastAsia="仿宋_GB2312"/>
                <w:sz w:val="24"/>
              </w:rPr>
              <w:t>kg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7、整备质量</w:t>
            </w:r>
            <w:r>
              <w:rPr>
                <w:rFonts w:ascii="仿宋_GB2312" w:hAnsi="仿宋_GB2312" w:cs="仿宋_GB2312" w:eastAsia="仿宋_GB2312"/>
                <w:sz w:val="24"/>
              </w:rPr>
              <w:t>≥</w:t>
            </w:r>
            <w:r>
              <w:rPr>
                <w:rFonts w:ascii="仿宋_GB2312" w:hAnsi="仿宋_GB2312" w:cs="仿宋_GB2312" w:eastAsia="仿宋_GB2312"/>
                <w:sz w:val="24"/>
              </w:rPr>
              <w:t>2920</w:t>
            </w:r>
            <w:r>
              <w:rPr>
                <w:rFonts w:ascii="仿宋_GB2312" w:hAnsi="仿宋_GB2312" w:cs="仿宋_GB2312" w:eastAsia="仿宋_GB2312"/>
                <w:sz w:val="24"/>
              </w:rPr>
              <w:t>kg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8、货厢内部尺寸</w:t>
            </w:r>
            <w:r>
              <w:rPr>
                <w:rFonts w:ascii="仿宋_GB2312" w:hAnsi="仿宋_GB2312" w:cs="仿宋_GB2312" w:eastAsia="仿宋_GB2312"/>
                <w:sz w:val="24"/>
              </w:rPr>
              <w:t>≥</w:t>
            </w:r>
            <w:r>
              <w:rPr>
                <w:rFonts w:ascii="仿宋_GB2312" w:hAnsi="仿宋_GB2312" w:cs="仿宋_GB2312" w:eastAsia="仿宋_GB2312"/>
                <w:sz w:val="24"/>
              </w:rPr>
              <w:t>3160*2000*500</w:t>
            </w:r>
            <w:r>
              <w:rPr>
                <w:rFonts w:ascii="仿宋_GB2312" w:hAnsi="仿宋_GB2312" w:cs="仿宋_GB2312" w:eastAsia="仿宋_GB2312"/>
                <w:sz w:val="24"/>
              </w:rPr>
              <w:t>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总质量</w:t>
            </w:r>
            <w:r>
              <w:rPr>
                <w:rFonts w:ascii="仿宋_GB2312" w:hAnsi="仿宋_GB2312" w:cs="仿宋_GB2312" w:eastAsia="仿宋_GB2312"/>
                <w:sz w:val="24"/>
              </w:rPr>
              <w:t>≥</w:t>
            </w:r>
            <w:r>
              <w:rPr>
                <w:rFonts w:ascii="仿宋_GB2312" w:hAnsi="仿宋_GB2312" w:cs="仿宋_GB2312" w:eastAsia="仿宋_GB2312"/>
                <w:sz w:val="24"/>
              </w:rPr>
              <w:t>6495</w:t>
            </w:r>
            <w:r>
              <w:rPr>
                <w:rFonts w:ascii="仿宋_GB2312" w:hAnsi="仿宋_GB2312" w:cs="仿宋_GB2312" w:eastAsia="仿宋_GB2312"/>
                <w:sz w:val="24"/>
              </w:rPr>
              <w:t>kg(以国家工信部汽车产品公告参数页数据为准)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★该自卸车需提供国家工信部的《车辆公告》</w:t>
            </w:r>
            <w:r>
              <w:rPr>
                <w:rFonts w:ascii="仿宋_GB2312" w:hAnsi="仿宋_GB2312" w:cs="仿宋_GB2312" w:eastAsia="仿宋_GB2312"/>
                <w:sz w:val="24"/>
              </w:rPr>
              <w:t>车辆名称为自卸汽车的目录</w:t>
            </w:r>
            <w:r>
              <w:rPr>
                <w:rFonts w:ascii="仿宋_GB2312" w:hAnsi="仿宋_GB2312" w:cs="仿宋_GB2312" w:eastAsia="仿宋_GB2312"/>
                <w:sz w:val="24"/>
              </w:rPr>
              <w:t>文件</w:t>
            </w:r>
            <w:r>
              <w:rPr>
                <w:rFonts w:ascii="仿宋_GB2312" w:hAnsi="仿宋_GB2312" w:cs="仿宋_GB2312" w:eastAsia="仿宋_GB2312"/>
                <w:sz w:val="24"/>
              </w:rPr>
              <w:t>，原厂原配，全国联保整车售后；</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上装要求：</w:t>
            </w:r>
            <w:r>
              <w:rPr>
                <w:rFonts w:ascii="仿宋_GB2312" w:hAnsi="仿宋_GB2312" w:cs="仿宋_GB2312" w:eastAsia="仿宋_GB2312"/>
                <w:sz w:val="24"/>
              </w:rPr>
              <w:t>举升机构采用中置式双缸液压直推式结构</w:t>
            </w:r>
            <w:r>
              <w:rPr>
                <w:rFonts w:ascii="仿宋_GB2312" w:hAnsi="仿宋_GB2312" w:cs="仿宋_GB2312" w:eastAsia="仿宋_GB2312"/>
                <w:sz w:val="24"/>
              </w:rPr>
              <w:t>；取力机构采用变速箱上取力，直接传给液压泵，使油缸产生推力举升车厢；安全可靠：有感应报警装置，金属钩链，保护支撑杆，更安全更稳定。</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w:t>
            </w:r>
            <w:r>
              <w:rPr>
                <w:rFonts w:ascii="仿宋_GB2312" w:hAnsi="仿宋_GB2312" w:cs="仿宋_GB2312" w:eastAsia="仿宋_GB2312"/>
                <w:sz w:val="24"/>
              </w:rPr>
              <w:t>带</w:t>
            </w:r>
            <w:r>
              <w:rPr>
                <w:rFonts w:ascii="仿宋_GB2312" w:hAnsi="仿宋_GB2312" w:cs="仿宋_GB2312" w:eastAsia="仿宋_GB2312"/>
                <w:sz w:val="24"/>
              </w:rPr>
              <w:t>★(星号)的为重要的技术参数。</w:t>
            </w:r>
          </w:p>
          <w:p>
            <w:pPr>
              <w:pStyle w:val="null3"/>
              <w:jc w:val="center"/>
            </w:pPr>
            <w:r>
              <w:rPr>
                <w:rFonts w:ascii="仿宋_GB2312" w:hAnsi="仿宋_GB2312" w:cs="仿宋_GB2312" w:eastAsia="仿宋_GB2312"/>
                <w:sz w:val="24"/>
                <w:b/>
              </w:rPr>
              <w:t>撒布机</w:t>
            </w:r>
            <w:r>
              <w:rPr>
                <w:rFonts w:ascii="仿宋_GB2312" w:hAnsi="仿宋_GB2312" w:cs="仿宋_GB2312" w:eastAsia="仿宋_GB2312"/>
                <w:sz w:val="24"/>
                <w:b/>
              </w:rPr>
              <w:t>--技术要求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w:t>
            </w:r>
            <w:r>
              <w:rPr>
                <w:rFonts w:ascii="仿宋_GB2312" w:hAnsi="仿宋_GB2312" w:cs="仿宋_GB2312" w:eastAsia="仿宋_GB2312"/>
                <w:sz w:val="24"/>
                <w:color w:val="000000"/>
              </w:rPr>
              <w:t>3m³</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2、撒播宽度：</w:t>
            </w:r>
            <w:r>
              <w:rPr>
                <w:rFonts w:ascii="仿宋_GB2312" w:hAnsi="仿宋_GB2312" w:cs="仿宋_GB2312" w:eastAsia="仿宋_GB2312"/>
                <w:sz w:val="24"/>
              </w:rPr>
              <w:t>1-</w:t>
            </w:r>
            <w:r>
              <w:rPr>
                <w:rFonts w:ascii="仿宋_GB2312" w:hAnsi="仿宋_GB2312" w:cs="仿宋_GB2312" w:eastAsia="仿宋_GB2312"/>
                <w:sz w:val="24"/>
              </w:rPr>
              <w:t>12</w:t>
            </w:r>
            <w:r>
              <w:rPr>
                <w:rFonts w:ascii="仿宋_GB2312" w:hAnsi="仿宋_GB2312" w:cs="仿宋_GB2312" w:eastAsia="仿宋_GB2312"/>
                <w:sz w:val="24"/>
              </w:rPr>
              <w:t>m</w:t>
            </w:r>
            <w:r>
              <w:rPr>
                <w:rFonts w:ascii="仿宋_GB2312" w:hAnsi="仿宋_GB2312" w:cs="仿宋_GB2312" w:eastAsia="仿宋_GB2312"/>
                <w:sz w:val="24"/>
              </w:rPr>
              <w:t>可调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撒布机动力采用的是电机驱动（接车载</w:t>
            </w:r>
            <w:r>
              <w:rPr>
                <w:rFonts w:ascii="仿宋_GB2312" w:hAnsi="仿宋_GB2312" w:cs="仿宋_GB2312" w:eastAsia="仿宋_GB2312"/>
                <w:sz w:val="24"/>
              </w:rPr>
              <w:t>12V或24V电源）；</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盐仓</w:t>
            </w:r>
            <w:r>
              <w:rPr>
                <w:rFonts w:ascii="仿宋_GB2312" w:hAnsi="仿宋_GB2312" w:cs="仿宋_GB2312" w:eastAsia="仿宋_GB2312"/>
                <w:sz w:val="24"/>
              </w:rPr>
              <w:t>主体</w:t>
            </w:r>
            <w:r>
              <w:rPr>
                <w:rFonts w:ascii="仿宋_GB2312" w:hAnsi="仿宋_GB2312" w:cs="仿宋_GB2312" w:eastAsia="仿宋_GB2312"/>
                <w:sz w:val="24"/>
              </w:rPr>
              <w:t>材质</w:t>
            </w:r>
            <w:r>
              <w:rPr>
                <w:rFonts w:ascii="仿宋_GB2312" w:hAnsi="仿宋_GB2312" w:cs="仿宋_GB2312" w:eastAsia="仿宋_GB2312"/>
                <w:sz w:val="24"/>
              </w:rPr>
              <w:t>须采用</w:t>
            </w:r>
            <w:r>
              <w:rPr>
                <w:rFonts w:ascii="仿宋_GB2312" w:hAnsi="仿宋_GB2312" w:cs="仿宋_GB2312" w:eastAsia="仿宋_GB2312"/>
                <w:sz w:val="24"/>
              </w:rPr>
              <w:t>高强度耐腐蚀聚乙烯材料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5、撒布机</w:t>
            </w:r>
            <w:r>
              <w:rPr>
                <w:rFonts w:ascii="仿宋_GB2312" w:hAnsi="仿宋_GB2312" w:cs="仿宋_GB2312" w:eastAsia="仿宋_GB2312"/>
                <w:sz w:val="24"/>
              </w:rPr>
              <w:t>输送方式</w:t>
            </w:r>
            <w:r>
              <w:rPr>
                <w:rFonts w:ascii="仿宋_GB2312" w:hAnsi="仿宋_GB2312" w:cs="仿宋_GB2312" w:eastAsia="仿宋_GB2312"/>
                <w:sz w:val="24"/>
              </w:rPr>
              <w:t>须采用</w:t>
            </w:r>
            <w:r>
              <w:rPr>
                <w:rFonts w:ascii="仿宋_GB2312" w:hAnsi="仿宋_GB2312" w:cs="仿宋_GB2312" w:eastAsia="仿宋_GB2312"/>
                <w:sz w:val="24"/>
              </w:rPr>
              <w:t>绞龙式输送，</w:t>
            </w:r>
            <w:r>
              <w:rPr>
                <w:rFonts w:ascii="仿宋_GB2312" w:hAnsi="仿宋_GB2312" w:cs="仿宋_GB2312" w:eastAsia="仿宋_GB2312"/>
                <w:sz w:val="24"/>
              </w:rPr>
              <w:t>增加出料量</w:t>
            </w:r>
            <w:r>
              <w:rPr>
                <w:rFonts w:ascii="仿宋_GB2312" w:hAnsi="仿宋_GB2312" w:cs="仿宋_GB2312" w:eastAsia="仿宋_GB2312"/>
                <w:sz w:val="24"/>
              </w:rPr>
              <w:t>，输送系统更稳定；</w:t>
            </w:r>
          </w:p>
          <w:p>
            <w:pPr>
              <w:pStyle w:val="null3"/>
              <w:jc w:val="both"/>
            </w:pPr>
            <w:r>
              <w:rPr>
                <w:rFonts w:ascii="仿宋_GB2312" w:hAnsi="仿宋_GB2312" w:cs="仿宋_GB2312" w:eastAsia="仿宋_GB2312"/>
                <w:sz w:val="24"/>
              </w:rPr>
              <w:t>6、撒布机</w:t>
            </w:r>
            <w:r>
              <w:rPr>
                <w:rFonts w:ascii="仿宋_GB2312" w:hAnsi="仿宋_GB2312" w:cs="仿宋_GB2312" w:eastAsia="仿宋_GB2312"/>
                <w:sz w:val="24"/>
              </w:rPr>
              <w:t>控制系统</w:t>
            </w:r>
            <w:r>
              <w:rPr>
                <w:rFonts w:ascii="仿宋_GB2312" w:hAnsi="仿宋_GB2312" w:cs="仿宋_GB2312" w:eastAsia="仿宋_GB2312"/>
                <w:sz w:val="24"/>
              </w:rPr>
              <w:t>须</w:t>
            </w:r>
            <w:r>
              <w:rPr>
                <w:rFonts w:ascii="仿宋_GB2312" w:hAnsi="仿宋_GB2312" w:cs="仿宋_GB2312" w:eastAsia="仿宋_GB2312"/>
                <w:sz w:val="24"/>
              </w:rPr>
              <w:t>配置智能控制器，绞龙和播撒盘</w:t>
            </w:r>
            <w:r>
              <w:rPr>
                <w:rFonts w:ascii="仿宋_GB2312" w:hAnsi="仿宋_GB2312" w:cs="仿宋_GB2312" w:eastAsia="仿宋_GB2312"/>
                <w:sz w:val="24"/>
              </w:rPr>
              <w:t>电机转速由两个旋钮独立控制，可自由调节物料输送量及播撒宽度</w:t>
            </w:r>
            <w:r>
              <w:rPr>
                <w:rFonts w:ascii="仿宋_GB2312" w:hAnsi="仿宋_GB2312" w:cs="仿宋_GB2312" w:eastAsia="仿宋_GB2312"/>
                <w:sz w:val="24"/>
              </w:rPr>
              <w:t>；</w:t>
            </w:r>
            <w:r>
              <w:rPr>
                <w:rFonts w:ascii="仿宋_GB2312" w:hAnsi="仿宋_GB2312" w:cs="仿宋_GB2312" w:eastAsia="仿宋_GB2312"/>
                <w:sz w:val="24"/>
              </w:rPr>
              <w:t>系统带有自诊断功能，对于电机过载、电压过低、保险丝熔断、短路等故障可通过故障报警指示灯进行提示；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撒布机须配置有</w:t>
            </w:r>
            <w:r>
              <w:rPr>
                <w:rFonts w:ascii="仿宋_GB2312" w:hAnsi="仿宋_GB2312" w:cs="仿宋_GB2312" w:eastAsia="仿宋_GB2312"/>
                <w:sz w:val="24"/>
              </w:rPr>
              <w:t>2</w:t>
            </w:r>
            <w:r>
              <w:rPr>
                <w:rFonts w:ascii="仿宋_GB2312" w:hAnsi="仿宋_GB2312" w:cs="仿宋_GB2312" w:eastAsia="仿宋_GB2312"/>
                <w:sz w:val="24"/>
              </w:rPr>
              <w:t>个振动马达，防止物料堵塞，</w:t>
            </w:r>
            <w:r>
              <w:rPr>
                <w:rFonts w:ascii="仿宋_GB2312" w:hAnsi="仿宋_GB2312" w:cs="仿宋_GB2312" w:eastAsia="仿宋_GB2312"/>
                <w:sz w:val="24"/>
              </w:rPr>
              <w:t>由控制器上独立开关控制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撒布机</w:t>
            </w:r>
            <w:r>
              <w:rPr>
                <w:rFonts w:ascii="仿宋_GB2312" w:hAnsi="仿宋_GB2312" w:cs="仿宋_GB2312" w:eastAsia="仿宋_GB2312"/>
                <w:sz w:val="24"/>
              </w:rPr>
              <w:t>须</w:t>
            </w:r>
            <w:r>
              <w:rPr>
                <w:rFonts w:ascii="仿宋_GB2312" w:hAnsi="仿宋_GB2312" w:cs="仿宋_GB2312" w:eastAsia="仿宋_GB2312"/>
                <w:sz w:val="24"/>
              </w:rPr>
              <w:t>配上网罩，防止大型物料或异物进入料仓，保证物料输送顺畅</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9、撒布机须可安装5吨以上自卸车上。</w:t>
            </w:r>
          </w:p>
          <w:p>
            <w:pPr>
              <w:pStyle w:val="null3"/>
              <w:jc w:val="center"/>
            </w:pPr>
            <w:r>
              <w:rPr>
                <w:rFonts w:ascii="仿宋_GB2312" w:hAnsi="仿宋_GB2312" w:cs="仿宋_GB2312" w:eastAsia="仿宋_GB2312"/>
                <w:sz w:val="24"/>
                <w:b/>
                <w:color w:val="000000"/>
              </w:rPr>
              <w:t>除雪铲</w:t>
            </w:r>
            <w:r>
              <w:rPr>
                <w:rFonts w:ascii="仿宋_GB2312" w:hAnsi="仿宋_GB2312" w:cs="仿宋_GB2312" w:eastAsia="仿宋_GB2312"/>
                <w:sz w:val="24"/>
                <w:b/>
                <w:color w:val="000000"/>
              </w:rPr>
              <w:t>-技术要求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除雪铲</w:t>
            </w:r>
            <w:r>
              <w:rPr>
                <w:rFonts w:ascii="仿宋_GB2312" w:hAnsi="仿宋_GB2312" w:cs="仿宋_GB2312" w:eastAsia="仿宋_GB2312"/>
                <w:sz w:val="24"/>
              </w:rPr>
              <w:t>有效除</w:t>
            </w:r>
            <w:r>
              <w:rPr>
                <w:rFonts w:ascii="仿宋_GB2312" w:hAnsi="仿宋_GB2312" w:cs="仿宋_GB2312" w:eastAsia="仿宋_GB2312"/>
                <w:sz w:val="24"/>
              </w:rPr>
              <w:t>雪宽度</w:t>
            </w:r>
            <w:r>
              <w:rPr>
                <w:rFonts w:ascii="仿宋_GB2312" w:hAnsi="仿宋_GB2312" w:cs="仿宋_GB2312" w:eastAsia="仿宋_GB2312"/>
                <w:sz w:val="24"/>
              </w:rPr>
              <w:t>≥</w:t>
            </w:r>
            <w:r>
              <w:rPr>
                <w:rFonts w:ascii="仿宋_GB2312" w:hAnsi="仿宋_GB2312" w:cs="仿宋_GB2312" w:eastAsia="仿宋_GB2312"/>
                <w:sz w:val="24"/>
              </w:rPr>
              <w:t>3600</w:t>
            </w:r>
            <w:r>
              <w:rPr>
                <w:rFonts w:ascii="仿宋_GB2312" w:hAnsi="仿宋_GB2312" w:cs="仿宋_GB2312" w:eastAsia="仿宋_GB2312"/>
                <w:sz w:val="24"/>
              </w:rPr>
              <w:t>mm；</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color w:val="000000"/>
              </w:rPr>
              <w:t>除雪铲升降及偏转须采用独立动力单元</w:t>
            </w:r>
            <w:r>
              <w:rPr>
                <w:rFonts w:ascii="仿宋_GB2312" w:hAnsi="仿宋_GB2312" w:cs="仿宋_GB2312" w:eastAsia="仿宋_GB2312"/>
                <w:sz w:val="24"/>
              </w:rPr>
              <w:t>；</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除雪铲左右偏转角度</w:t>
            </w:r>
            <w:r>
              <w:rPr>
                <w:rFonts w:ascii="仿宋_GB2312" w:hAnsi="仿宋_GB2312" w:cs="仿宋_GB2312" w:eastAsia="仿宋_GB2312"/>
                <w:sz w:val="24"/>
              </w:rPr>
              <w:t>≥</w:t>
            </w:r>
            <w:r>
              <w:rPr>
                <w:rFonts w:ascii="仿宋_GB2312" w:hAnsi="仿宋_GB2312" w:cs="仿宋_GB2312" w:eastAsia="仿宋_GB2312"/>
                <w:sz w:val="24"/>
                <w:color w:val="000000"/>
              </w:rPr>
              <w:t>30º；</w:t>
            </w:r>
          </w:p>
          <w:p>
            <w:pPr>
              <w:pStyle w:val="null3"/>
              <w:jc w:val="both"/>
            </w:pPr>
            <w:r>
              <w:rPr>
                <w:rFonts w:ascii="仿宋_GB2312" w:hAnsi="仿宋_GB2312" w:cs="仿宋_GB2312" w:eastAsia="仿宋_GB2312"/>
                <w:sz w:val="24"/>
              </w:rPr>
              <w:t>4、除雪铲须</w:t>
            </w:r>
            <w:r>
              <w:rPr>
                <w:rFonts w:ascii="仿宋_GB2312" w:hAnsi="仿宋_GB2312" w:cs="仿宋_GB2312" w:eastAsia="仿宋_GB2312"/>
                <w:sz w:val="24"/>
              </w:rPr>
              <w:t>具有浮动功能，能在起伏不平路面上正常工作</w:t>
            </w:r>
            <w:r>
              <w:rPr>
                <w:rFonts w:ascii="仿宋_GB2312" w:hAnsi="仿宋_GB2312" w:cs="仿宋_GB2312" w:eastAsia="仿宋_GB2312"/>
                <w:sz w:val="24"/>
              </w:rPr>
              <w:t>；</w:t>
            </w:r>
          </w:p>
          <w:p>
            <w:pPr>
              <w:pStyle w:val="null3"/>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除雪铲</w:t>
            </w:r>
            <w:r>
              <w:rPr>
                <w:rFonts w:ascii="仿宋_GB2312" w:hAnsi="仿宋_GB2312" w:cs="仿宋_GB2312" w:eastAsia="仿宋_GB2312"/>
                <w:sz w:val="24"/>
              </w:rPr>
              <w:t>须</w:t>
            </w:r>
            <w:r>
              <w:rPr>
                <w:rFonts w:ascii="仿宋_GB2312" w:hAnsi="仿宋_GB2312" w:cs="仿宋_GB2312" w:eastAsia="仿宋_GB2312"/>
                <w:sz w:val="24"/>
              </w:rPr>
              <w:t>具备自动避障，自动回位</w:t>
            </w:r>
            <w:r>
              <w:rPr>
                <w:rFonts w:ascii="仿宋_GB2312" w:hAnsi="仿宋_GB2312" w:cs="仿宋_GB2312" w:eastAsia="仿宋_GB2312"/>
                <w:sz w:val="24"/>
              </w:rPr>
              <w:t>功能</w:t>
            </w:r>
            <w:r>
              <w:rPr>
                <w:rFonts w:ascii="仿宋_GB2312" w:hAnsi="仿宋_GB2312" w:cs="仿宋_GB2312" w:eastAsia="仿宋_GB2312"/>
                <w:sz w:val="24"/>
              </w:rPr>
              <w:t>，</w:t>
            </w:r>
            <w:r>
              <w:rPr>
                <w:rFonts w:ascii="仿宋_GB2312" w:hAnsi="仿宋_GB2312" w:cs="仿宋_GB2312" w:eastAsia="仿宋_GB2312"/>
                <w:sz w:val="24"/>
              </w:rPr>
              <w:t>避障高度</w:t>
            </w:r>
            <w:r>
              <w:rPr>
                <w:rFonts w:ascii="仿宋_GB2312" w:hAnsi="仿宋_GB2312" w:cs="仿宋_GB2312" w:eastAsia="仿宋_GB2312"/>
                <w:sz w:val="24"/>
              </w:rPr>
              <w:t>≥</w:t>
            </w:r>
            <w:r>
              <w:rPr>
                <w:rFonts w:ascii="仿宋_GB2312" w:hAnsi="仿宋_GB2312" w:cs="仿宋_GB2312" w:eastAsia="仿宋_GB2312"/>
                <w:sz w:val="24"/>
              </w:rPr>
              <w:t>150</w:t>
            </w:r>
            <w:r>
              <w:rPr>
                <w:rFonts w:ascii="仿宋_GB2312" w:hAnsi="仿宋_GB2312" w:cs="仿宋_GB2312" w:eastAsia="仿宋_GB2312"/>
                <w:sz w:val="24"/>
              </w:rPr>
              <w:t>mm</w:t>
            </w:r>
            <w:r>
              <w:rPr>
                <w:rFonts w:ascii="仿宋_GB2312" w:hAnsi="仿宋_GB2312" w:cs="仿宋_GB2312" w:eastAsia="仿宋_GB2312"/>
                <w:sz w:val="24"/>
              </w:rPr>
              <w:t>；</w:t>
            </w:r>
          </w:p>
          <w:p>
            <w:pPr>
              <w:pStyle w:val="null3"/>
            </w:pPr>
            <w:r>
              <w:rPr>
                <w:rFonts w:ascii="仿宋_GB2312" w:hAnsi="仿宋_GB2312" w:cs="仿宋_GB2312" w:eastAsia="仿宋_GB2312"/>
                <w:sz w:val="24"/>
              </w:rPr>
              <w:t>6、</w:t>
            </w:r>
            <w:r>
              <w:rPr>
                <w:rFonts w:ascii="仿宋_GB2312" w:hAnsi="仿宋_GB2312" w:cs="仿宋_GB2312" w:eastAsia="仿宋_GB2312"/>
                <w:sz w:val="24"/>
              </w:rPr>
              <w:t>铲板</w:t>
            </w:r>
            <w:r>
              <w:rPr>
                <w:rFonts w:ascii="仿宋_GB2312" w:hAnsi="仿宋_GB2312" w:cs="仿宋_GB2312" w:eastAsia="仿宋_GB2312"/>
                <w:sz w:val="24"/>
              </w:rPr>
              <w:t>须</w:t>
            </w:r>
            <w:r>
              <w:rPr>
                <w:rFonts w:ascii="仿宋_GB2312" w:hAnsi="仿宋_GB2312" w:cs="仿宋_GB2312" w:eastAsia="仿宋_GB2312"/>
                <w:sz w:val="24"/>
              </w:rPr>
              <w:t>采用一体化大弧度面板设计，防止除雪时扬雪后溢</w:t>
            </w:r>
            <w:r>
              <w:rPr>
                <w:rFonts w:ascii="仿宋_GB2312" w:hAnsi="仿宋_GB2312" w:cs="仿宋_GB2312" w:eastAsia="仿宋_GB2312"/>
                <w:sz w:val="24"/>
              </w:rPr>
              <w:t>；</w:t>
            </w:r>
          </w:p>
          <w:p>
            <w:pPr>
              <w:pStyle w:val="null3"/>
            </w:pPr>
            <w:r>
              <w:rPr>
                <w:rFonts w:ascii="仿宋_GB2312" w:hAnsi="仿宋_GB2312" w:cs="仿宋_GB2312" w:eastAsia="仿宋_GB2312"/>
                <w:sz w:val="24"/>
              </w:rPr>
              <w:t>7、</w:t>
            </w:r>
            <w:r>
              <w:rPr>
                <w:rFonts w:ascii="仿宋_GB2312" w:hAnsi="仿宋_GB2312" w:cs="仿宋_GB2312" w:eastAsia="仿宋_GB2312"/>
                <w:sz w:val="24"/>
              </w:rPr>
              <w:t>除雪作业时，须在驾驶室内操作实现</w:t>
            </w:r>
            <w:r>
              <w:rPr>
                <w:rFonts w:ascii="仿宋_GB2312" w:hAnsi="仿宋_GB2312" w:cs="仿宋_GB2312" w:eastAsia="仿宋_GB2312"/>
                <w:sz w:val="24"/>
              </w:rPr>
              <w:t>除雪铲</w:t>
            </w:r>
            <w:r>
              <w:rPr>
                <w:rFonts w:ascii="仿宋_GB2312" w:hAnsi="仿宋_GB2312" w:cs="仿宋_GB2312" w:eastAsia="仿宋_GB2312"/>
                <w:sz w:val="24"/>
              </w:rPr>
              <w:t>的偏转角度调整、铲板的抬升、下降动作；</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除雪铲</w:t>
            </w:r>
            <w:r>
              <w:rPr>
                <w:rFonts w:ascii="仿宋_GB2312" w:hAnsi="仿宋_GB2312" w:cs="仿宋_GB2312" w:eastAsia="仿宋_GB2312"/>
                <w:sz w:val="24"/>
              </w:rPr>
              <w:t>须可安装在</w:t>
            </w:r>
            <w:r>
              <w:rPr>
                <w:rFonts w:ascii="仿宋_GB2312" w:hAnsi="仿宋_GB2312" w:cs="仿宋_GB2312" w:eastAsia="仿宋_GB2312"/>
                <w:sz w:val="24"/>
              </w:rPr>
              <w:t>18吨以上车辆</w:t>
            </w:r>
            <w:r>
              <w:rPr>
                <w:rFonts w:ascii="仿宋_GB2312" w:hAnsi="仿宋_GB2312" w:cs="仿宋_GB2312" w:eastAsia="仿宋_GB2312"/>
                <w:sz w:val="24"/>
              </w:rPr>
              <w:t>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注：带</w:t>
            </w:r>
            <w:r>
              <w:rPr>
                <w:rFonts w:ascii="仿宋_GB2312" w:hAnsi="仿宋_GB2312" w:cs="仿宋_GB2312" w:eastAsia="仿宋_GB2312"/>
                <w:sz w:val="24"/>
                <w:b/>
              </w:rPr>
              <w:t>★（星号）的为重要技术要求。</w:t>
            </w:r>
          </w:p>
          <w:p>
            <w:pPr>
              <w:pStyle w:val="null3"/>
              <w:jc w:val="both"/>
            </w:pPr>
            <w:r>
              <w:rPr>
                <w:rFonts w:ascii="仿宋_GB2312" w:hAnsi="仿宋_GB2312" w:cs="仿宋_GB2312" w:eastAsia="仿宋_GB2312"/>
                <w:sz w:val="24"/>
              </w:rPr>
              <w:t>三、采购要求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、所有报价设备（材料）必须有明确的生产厂家，且为国家优质产品或同类产品。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、缺陷保修：如果设备交付使用后，缺陷多次反复出现，供货方必须提出分析报告和解决方案，直到最后调换，供货方提供的质保期从纠正之日起重新计算质保期。</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、如果是超出供方的责任范围的疏忽、误操作等情况而导致的更换修正，应由供货方进行修理，其额外费用由双方协商承担。</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、供应商安排技术人员，对车辆的操作、保养等技术进行培训。</w:t>
            </w:r>
          </w:p>
          <w:p>
            <w:pPr>
              <w:pStyle w:val="null3"/>
              <w:jc w:val="both"/>
            </w:pPr>
            <w:r>
              <w:rPr>
                <w:rFonts w:ascii="仿宋_GB2312" w:hAnsi="仿宋_GB2312" w:cs="仿宋_GB2312" w:eastAsia="仿宋_GB2312"/>
                <w:sz w:val="24"/>
              </w:rPr>
              <w:t>四、质量保证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、质保期为自验收合格交付使用后</w:t>
            </w:r>
            <w:r>
              <w:rPr>
                <w:rFonts w:ascii="仿宋_GB2312" w:hAnsi="仿宋_GB2312" w:cs="仿宋_GB2312" w:eastAsia="仿宋_GB2312"/>
                <w:sz w:val="24"/>
              </w:rPr>
              <w:t>12</w:t>
            </w:r>
            <w:r>
              <w:rPr>
                <w:rFonts w:ascii="仿宋_GB2312" w:hAnsi="仿宋_GB2312" w:cs="仿宋_GB2312" w:eastAsia="仿宋_GB2312"/>
                <w:sz w:val="24"/>
              </w:rPr>
              <w:t>个月，成交供应商承诺的质保时间超过招标文件要求的，按其承诺时间质保。</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、成交供应商承诺的质保期起始时间为终验合格之日。</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、所有货物及辅材必须是未使用过的新货物，质量优良、渠道正当，配置合理。</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、质保期出现的质量问题由成交供应商负责解决并承担所有费用。质保期后如需更换零部件，成交供应商应以成本价提供。</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、所供货物是经过国家法定、准许市场销售的合法产品。</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、货物性能稳定、具有较好的使用效果，质量保证措施完善，符合国家相关标准。</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、货物的质保期按照</w:t>
            </w:r>
            <w:r>
              <w:rPr>
                <w:rFonts w:ascii="仿宋_GB2312" w:hAnsi="仿宋_GB2312" w:cs="仿宋_GB2312" w:eastAsia="仿宋_GB2312"/>
                <w:sz w:val="24"/>
              </w:rPr>
              <w:t>“</w:t>
            </w:r>
            <w:r>
              <w:rPr>
                <w:rFonts w:ascii="仿宋_GB2312" w:hAnsi="仿宋_GB2312" w:cs="仿宋_GB2312" w:eastAsia="仿宋_GB2312"/>
                <w:sz w:val="24"/>
              </w:rPr>
              <w:t>三包</w:t>
            </w:r>
            <w:r>
              <w:rPr>
                <w:rFonts w:ascii="仿宋_GB2312" w:hAnsi="仿宋_GB2312" w:cs="仿宋_GB2312" w:eastAsia="仿宋_GB2312"/>
                <w:sz w:val="24"/>
              </w:rPr>
              <w:t>”</w:t>
            </w:r>
            <w:r>
              <w:rPr>
                <w:rFonts w:ascii="仿宋_GB2312" w:hAnsi="仿宋_GB2312" w:cs="仿宋_GB2312" w:eastAsia="仿宋_GB2312"/>
                <w:sz w:val="24"/>
              </w:rPr>
              <w:t>原则执行。</w:t>
            </w:r>
          </w:p>
          <w:p>
            <w:pPr>
              <w:pStyle w:val="null3"/>
              <w:jc w:val="both"/>
            </w:pPr>
            <w:r>
              <w:rPr>
                <w:rFonts w:ascii="仿宋_GB2312" w:hAnsi="仿宋_GB2312" w:cs="仿宋_GB2312" w:eastAsia="仿宋_GB2312"/>
                <w:sz w:val="24"/>
              </w:rPr>
              <w:t>五、设备安装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、安装过程中不损坏原物品，如有损坏供应商需承担相应责任。</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、成交供应商须按要求负责完成对本项目设备的安装调试、测试等工作。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、项目实施完成后，应向采购人提供详尽的文档资料（包括配置文档、使用手册等相关</w:t>
            </w:r>
          </w:p>
          <w:p>
            <w:pPr>
              <w:pStyle w:val="null3"/>
              <w:jc w:val="both"/>
            </w:pPr>
            <w:r>
              <w:rPr>
                <w:rFonts w:ascii="仿宋_GB2312" w:hAnsi="仿宋_GB2312" w:cs="仿宋_GB2312" w:eastAsia="仿宋_GB2312"/>
                <w:sz w:val="24"/>
              </w:rPr>
              <w:t>技术资料）。</w:t>
            </w:r>
          </w:p>
          <w:p>
            <w:pPr>
              <w:pStyle w:val="null3"/>
              <w:jc w:val="both"/>
            </w:pPr>
            <w:r>
              <w:rPr>
                <w:rFonts w:ascii="仿宋_GB2312" w:hAnsi="仿宋_GB2312" w:cs="仿宋_GB2312" w:eastAsia="仿宋_GB2312"/>
                <w:sz w:val="24"/>
              </w:rPr>
              <w:t>六、商务要求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、交货期：合同签订之日起</w:t>
            </w:r>
            <w:r>
              <w:rPr>
                <w:rFonts w:ascii="仿宋_GB2312" w:hAnsi="仿宋_GB2312" w:cs="仿宋_GB2312" w:eastAsia="仿宋_GB2312"/>
                <w:sz w:val="24"/>
              </w:rPr>
              <w:t>30</w:t>
            </w:r>
            <w:r>
              <w:rPr>
                <w:rFonts w:ascii="仿宋_GB2312" w:hAnsi="仿宋_GB2312" w:cs="仿宋_GB2312" w:eastAsia="仿宋_GB2312"/>
                <w:sz w:val="24"/>
              </w:rPr>
              <w:t>日历天。</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、交货地点：按照采购人指定地点。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、质保期：验收合格之日起</w:t>
            </w:r>
            <w:r>
              <w:rPr>
                <w:rFonts w:ascii="仿宋_GB2312" w:hAnsi="仿宋_GB2312" w:cs="仿宋_GB2312" w:eastAsia="仿宋_GB2312"/>
                <w:sz w:val="24"/>
              </w:rPr>
              <w:t>12</w:t>
            </w:r>
            <w:r>
              <w:rPr>
                <w:rFonts w:ascii="仿宋_GB2312" w:hAnsi="仿宋_GB2312" w:cs="仿宋_GB2312" w:eastAsia="仿宋_GB2312"/>
                <w:sz w:val="24"/>
              </w:rPr>
              <w:t>个月。</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、付款方式：</w:t>
            </w:r>
            <w:r>
              <w:rPr>
                <w:rFonts w:ascii="仿宋_GB2312" w:hAnsi="仿宋_GB2312" w:cs="仿宋_GB2312" w:eastAsia="仿宋_GB2312"/>
                <w:sz w:val="24"/>
              </w:rPr>
              <w:t>合同签订后，供货完成并经采购人验收合格且开具全额发票和人员培训完成之后一次性支付。</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、包装、运输要求：</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包装：应采取防潮、防晒、防腐蚀、防震动及防止其它损坏的必要措施。成交单位应承担由于其包装或防护措施不妥而引起的货物锈蚀、损坏和丢失等任何损失造成的责任或费用。</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运输：选择运输风险小、运费低、距离短的运输路线。运杂费全部包在总价内，包括生产到交货验收现场所需的装卸、运输（含保险费）、现场保管费、二次倒运费等费用。</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、验收</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由采购人和供应商共同对设备整体进行验收。其内容包括确认产品的产地、规格、型号和数量，对其产品技术指标、采购要求及性能参数是否达到现行国家有关验收规范</w:t>
            </w:r>
            <w:r>
              <w:rPr>
                <w:rFonts w:ascii="仿宋_GB2312" w:hAnsi="仿宋_GB2312" w:cs="仿宋_GB2312" w:eastAsia="仿宋_GB2312"/>
                <w:sz w:val="24"/>
              </w:rPr>
              <w:t>“</w:t>
            </w:r>
            <w:r>
              <w:rPr>
                <w:rFonts w:ascii="仿宋_GB2312" w:hAnsi="仿宋_GB2312" w:cs="仿宋_GB2312" w:eastAsia="仿宋_GB2312"/>
                <w:sz w:val="24"/>
              </w:rPr>
              <w:t>合格</w:t>
            </w:r>
            <w:r>
              <w:rPr>
                <w:rFonts w:ascii="仿宋_GB2312" w:hAnsi="仿宋_GB2312" w:cs="仿宋_GB2312" w:eastAsia="仿宋_GB2312"/>
                <w:sz w:val="24"/>
              </w:rPr>
              <w:t>”</w:t>
            </w:r>
            <w:r>
              <w:rPr>
                <w:rFonts w:ascii="仿宋_GB2312" w:hAnsi="仿宋_GB2312" w:cs="仿宋_GB2312" w:eastAsia="仿宋_GB2312"/>
                <w:sz w:val="24"/>
              </w:rPr>
              <w:t>标准进行逐项检查。</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所验产品的指标、性能参数通过验收达不到招标文件要求和投标文件承诺的，或在使用中发现采购人不能容忍的缺陷等，将视为产品验收不合格，供应商应无条件免费更换或退货。</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若发现供应商有弄虚作假的，在投标阶段故意或随意夸大产品技术性能，供应商应无条件退货，并赔偿采购人相应的损失。</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验收标准：按招标文件、投标</w:t>
            </w:r>
            <w:r>
              <w:rPr>
                <w:rFonts w:ascii="仿宋_GB2312" w:hAnsi="仿宋_GB2312" w:cs="仿宋_GB2312" w:eastAsia="仿宋_GB2312"/>
                <w:sz w:val="24"/>
              </w:rPr>
              <w:t>响应</w:t>
            </w:r>
            <w:r>
              <w:rPr>
                <w:rFonts w:ascii="仿宋_GB2312" w:hAnsi="仿宋_GB2312" w:cs="仿宋_GB2312" w:eastAsia="仿宋_GB2312"/>
                <w:sz w:val="24"/>
              </w:rPr>
              <w:t>文件等技术指标进行验收。各项指标均应符合验收标准及要求。</w:t>
            </w:r>
          </w:p>
          <w:p>
            <w:pPr>
              <w:pStyle w:val="null3"/>
              <w:jc w:val="both"/>
            </w:pPr>
            <w:r>
              <w:rPr>
                <w:rFonts w:ascii="仿宋_GB2312" w:hAnsi="仿宋_GB2312" w:cs="仿宋_GB2312" w:eastAsia="仿宋_GB2312"/>
                <w:sz w:val="24"/>
              </w:rPr>
              <w:t>⑤.</w:t>
            </w:r>
            <w:r>
              <w:rPr>
                <w:rFonts w:ascii="仿宋_GB2312" w:hAnsi="仿宋_GB2312" w:cs="仿宋_GB2312" w:eastAsia="仿宋_GB2312"/>
                <w:sz w:val="24"/>
              </w:rPr>
              <w:t>验收合格后，填写验收单，双方签字生效。</w:t>
            </w:r>
          </w:p>
          <w:p>
            <w:pPr>
              <w:pStyle w:val="null3"/>
              <w:jc w:val="both"/>
            </w:pPr>
            <w:r>
              <w:rPr>
                <w:rFonts w:ascii="仿宋_GB2312" w:hAnsi="仿宋_GB2312" w:cs="仿宋_GB2312" w:eastAsia="仿宋_GB2312"/>
                <w:sz w:val="24"/>
              </w:rPr>
              <w:t>⑥.</w:t>
            </w:r>
            <w:r>
              <w:rPr>
                <w:rFonts w:ascii="仿宋_GB2312" w:hAnsi="仿宋_GB2312" w:cs="仿宋_GB2312" w:eastAsia="仿宋_GB2312"/>
                <w:sz w:val="24"/>
              </w:rPr>
              <w:t>验收依据：</w:t>
            </w:r>
          </w:p>
          <w:p>
            <w:pPr>
              <w:pStyle w:val="null3"/>
              <w:jc w:val="both"/>
            </w:pPr>
            <w:r>
              <w:rPr>
                <w:rFonts w:ascii="仿宋_GB2312" w:hAnsi="仿宋_GB2312" w:cs="仿宋_GB2312" w:eastAsia="仿宋_GB2312"/>
                <w:sz w:val="24"/>
              </w:rPr>
              <w:t>a)</w:t>
            </w:r>
            <w:r>
              <w:rPr>
                <w:rFonts w:ascii="仿宋_GB2312" w:hAnsi="仿宋_GB2312" w:cs="仿宋_GB2312" w:eastAsia="仿宋_GB2312"/>
                <w:sz w:val="24"/>
              </w:rPr>
              <w:t>合同文本；</w:t>
            </w:r>
          </w:p>
          <w:p>
            <w:pPr>
              <w:pStyle w:val="null3"/>
              <w:jc w:val="both"/>
            </w:pPr>
            <w:r>
              <w:rPr>
                <w:rFonts w:ascii="仿宋_GB2312" w:hAnsi="仿宋_GB2312" w:cs="仿宋_GB2312" w:eastAsia="仿宋_GB2312"/>
                <w:sz w:val="24"/>
              </w:rPr>
              <w:t>b)</w:t>
            </w:r>
            <w:r>
              <w:rPr>
                <w:rFonts w:ascii="仿宋_GB2312" w:hAnsi="仿宋_GB2312" w:cs="仿宋_GB2312" w:eastAsia="仿宋_GB2312"/>
                <w:sz w:val="24"/>
              </w:rPr>
              <w:t>投标</w:t>
            </w:r>
            <w:r>
              <w:rPr>
                <w:rFonts w:ascii="仿宋_GB2312" w:hAnsi="仿宋_GB2312" w:cs="仿宋_GB2312" w:eastAsia="仿宋_GB2312"/>
                <w:sz w:val="24"/>
              </w:rPr>
              <w:t>响应</w:t>
            </w:r>
            <w:r>
              <w:rPr>
                <w:rFonts w:ascii="仿宋_GB2312" w:hAnsi="仿宋_GB2312" w:cs="仿宋_GB2312" w:eastAsia="仿宋_GB2312"/>
                <w:sz w:val="24"/>
              </w:rPr>
              <w:t>文件、招标文件；</w:t>
            </w:r>
          </w:p>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国家和行业制定的相应的标准和规范；</w:t>
            </w:r>
          </w:p>
          <w:p>
            <w:pPr>
              <w:pStyle w:val="null3"/>
              <w:jc w:val="both"/>
            </w:pPr>
            <w:r>
              <w:rPr>
                <w:rFonts w:ascii="仿宋_GB2312" w:hAnsi="仿宋_GB2312" w:cs="仿宋_GB2312" w:eastAsia="仿宋_GB2312"/>
                <w:sz w:val="24"/>
              </w:rPr>
              <w:t>d)</w:t>
            </w:r>
            <w:r>
              <w:rPr>
                <w:rFonts w:ascii="仿宋_GB2312" w:hAnsi="仿宋_GB2312" w:cs="仿宋_GB2312" w:eastAsia="仿宋_GB2312"/>
                <w:sz w:val="24"/>
              </w:rPr>
              <w:t>产品验收清单（注明品名、数量、规格和原产地或生产厂家）。</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、履约保证</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所采购的货物须是符合本次采购的质量要求。</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采购</w:t>
            </w:r>
            <w:r>
              <w:rPr>
                <w:rFonts w:ascii="仿宋_GB2312" w:hAnsi="仿宋_GB2312" w:cs="仿宋_GB2312" w:eastAsia="仿宋_GB2312"/>
                <w:sz w:val="24"/>
              </w:rPr>
              <w:t>结果公示期结束后</w:t>
            </w:r>
            <w:r>
              <w:rPr>
                <w:rFonts w:ascii="仿宋_GB2312" w:hAnsi="仿宋_GB2312" w:cs="仿宋_GB2312" w:eastAsia="仿宋_GB2312"/>
                <w:sz w:val="24"/>
              </w:rPr>
              <w:t>30</w:t>
            </w:r>
            <w:r>
              <w:rPr>
                <w:rFonts w:ascii="仿宋_GB2312" w:hAnsi="仿宋_GB2312" w:cs="仿宋_GB2312" w:eastAsia="仿宋_GB2312"/>
                <w:sz w:val="24"/>
              </w:rPr>
              <w:t>天内，中标方须主动与采购方联系并签订采购合同。若中标方逾期未签订合同或无正当理由拒绝签订合同，视为自动放弃中标资格，采购人将向报政府采购监督管理部门上报违约情况，该后果由中标方自行承担。</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提供的产品及配套的设施、配件、服务等，符合国家与行业相关规定与要求。若无法满足上述所有需求，在签订合同书</w:t>
            </w:r>
            <w:r>
              <w:rPr>
                <w:rFonts w:ascii="仿宋_GB2312" w:hAnsi="仿宋_GB2312" w:cs="仿宋_GB2312" w:eastAsia="仿宋_GB2312"/>
                <w:sz w:val="24"/>
              </w:rPr>
              <w:t>30</w:t>
            </w:r>
            <w:r>
              <w:rPr>
                <w:rFonts w:ascii="仿宋_GB2312" w:hAnsi="仿宋_GB2312" w:cs="仿宋_GB2312" w:eastAsia="仿宋_GB2312"/>
                <w:sz w:val="24"/>
              </w:rPr>
              <w:t>天之内，供货方需采取可行的方法进行修正与补救，并不得要求采购方承担任何费用。若供货方在上述规定的时间之内没有执行修正与补救措施，或经过修正与补救后仍然无法满足采购方上述所有需求，采购方有权单方面解除采购合同，并且不承担任何责任与后果，同时追究供货方的违约责任，对采购方造成损失的可继续追偿。</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、违约责任：</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按《中华人民共和国民法典》中的相关条款执行。</w:t>
            </w:r>
          </w:p>
          <w:p>
            <w:pPr>
              <w:pStyle w:val="null3"/>
            </w:pPr>
            <w:r>
              <w:rPr>
                <w:rFonts w:ascii="仿宋_GB2312" w:hAnsi="仿宋_GB2312" w:cs="仿宋_GB2312" w:eastAsia="仿宋_GB2312"/>
                <w:sz w:val="24"/>
              </w:rPr>
              <w:t>②</w:t>
            </w:r>
            <w:r>
              <w:rPr>
                <w:rFonts w:ascii="仿宋_GB2312" w:hAnsi="仿宋_GB2312" w:cs="仿宋_GB2312" w:eastAsia="仿宋_GB2312"/>
                <w:sz w:val="24"/>
              </w:rPr>
              <w:t>.</w:t>
            </w:r>
            <w:r>
              <w:rPr>
                <w:rFonts w:ascii="仿宋_GB2312" w:hAnsi="仿宋_GB2312" w:cs="仿宋_GB2312" w:eastAsia="仿宋_GB2312"/>
                <w:sz w:val="24"/>
              </w:rPr>
              <w:t>未按合同要求提供服务或服务质量不能满足采购人要求，采购人有权终止合同，同时报请政府采购管理部门对其违约行为进行追究。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合同签订后，供货完成并经采购人验收合格且开具全额发票和人员培训完成之后一次性支付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质保期：验收合格之日起12个月。具体双方协商约定。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提供独立法人或其他组织的相应证明文件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提供2023年或2024年任一年度经审计的财务审计报告(2025年新成立的公司提供成立后企业的资产负债表和利润表），或提供近一年内基本存款账户开户银行开具的资信证明；</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提供2025年01月01日至今任意两个月缴纳税收的证明材料（任意税种）,依法免税的单位应提供相关证明材料；</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提供2025年01月01日至今任意两个月依法缴纳社会保障资金的证明材料（依法不需要缴纳社会保障资金的单位应提供相关证明材料）；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具备履行合同的能力承诺</w:t>
            </w:r>
          </w:p>
        </w:tc>
        <w:tc>
          <w:tcPr>
            <w:tcW w:type="dxa" w:w="3322"/>
          </w:tcPr>
          <w:p>
            <w:pPr>
              <w:pStyle w:val="null3"/>
            </w:pPr>
            <w:r>
              <w:rPr>
                <w:rFonts w:ascii="仿宋_GB2312" w:hAnsi="仿宋_GB2312" w:cs="仿宋_GB2312" w:eastAsia="仿宋_GB2312"/>
              </w:rPr>
              <w:t>具备履行合同所必需的设备和专业技术能力（提供承诺函）；</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单位负责人为同一人或者存在直接控股、管理关系的不同供应商不得同时参加本项目投标；</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法定代表人授权委托书（附法定代表人及被授权人身份证复印件）（如法定代表人参加投标只需提交法定代表人身份证明并附身份证复印件）；</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投标文件上法定代表人或被授权人的签字或电子印章齐全</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投标文件封面 实施方案.docx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有效投标报价</w:t>
            </w:r>
          </w:p>
        </w:tc>
        <w:tc>
          <w:tcPr>
            <w:tcW w:type="dxa" w:w="3322"/>
          </w:tcPr>
          <w:p>
            <w:pPr>
              <w:pStyle w:val="null3"/>
            </w:pPr>
            <w:r>
              <w:rPr>
                <w:rFonts w:ascii="仿宋_GB2312" w:hAnsi="仿宋_GB2312" w:cs="仿宋_GB2312" w:eastAsia="仿宋_GB2312"/>
              </w:rPr>
              <w:t>投标文件中报价不得超过采购预算金额或最高限价</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法定代表人（单位负责人）身份证明及授权委托书.docx 产品技术参数表 投标函 残疾人福利性单位声明函 标的清单 其他资料.docx 实施方案.docx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依据各投标人所投产品的主要技术指标、参数及性能等情况，以及与招标文件技术要求的响应程度打分，满分19分。 1、★项（共19项）每负偏离一项扣2分，扣完为止。2、未标注项每负偏离一项扣1分，扣完为止。 评审依据：标★项提供有效的证明材料（包括但不限于技术白皮书、产品彩页、说明书、检测报告、官网截图等，不提供不得分）。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法定代表人（单位负责人）身份证明及授权委托书.docx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根据本项目提供具体的实施方案 1、供货、运输安排、安装调试方案、验收方案等说明； 2、货物进度计划和保证措施； 3、实施安全控制方案； 4、质量保障措施； 5、人员配置分工； 6、使用培训方案（培训计划、培训内容等）； 7、其他内容（提供有利于本项目顺利推进的相关承诺或建议说明）。 评审标准：各项内容全面，条理清晰，阐述合理，能有效保障本项目供货实施。每缺1项扣5分，每有一处内容存在缺陷，扣1分，扣完为止。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法定代表人（单位负责人）身份证明及授权委托书.docx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所投产品供货渠道正常、货物来源质量有保证，检验手续完善、合法有效，无产权纠纷得1分，未提供不得分。（提供代理协议或生产厂家授权书）。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法定代表人（单位负责人）身份证明及授权委托书.docx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根据投标人提供的项目售后服务方案进行评审 1、售后服务计划、售后服务方案及应急处理措施； 2、故障响应时间、处理方式、服务人员保障及服务承诺。 评审标准：各项内容全面，条理清晰，阐述合理，能有效保障本项目供货实施。每缺1项扣5分，每有一处内容存在缺陷，扣1分，扣完为止。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法定代表人（单位负责人）身份证明及授权委托书.docx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投标人提供2022年10月至今类似项目业绩，每提供一份合同复印件及中标通知书（或中标（成交）结果公告网页截图）并加盖章得1分，满分5分。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法定代表人（单位负责人）身份证明及授权委托书.docx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注：符合招标文件规定的中小企业、监狱企业、残疾人福利性单位优惠条件的投标人，价格给予10%的扣除，用扣除后的价格参与评审。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法定代表人（单位负责人）身份证明及授权委托书.docx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其他资料.docx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详见附件：法定代表人（单位负责人）身份证明及授权委托书.docx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