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版本号：ZCSP-铜川市-2025-0087420251118001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市委党校-校园防水、地面维修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ZCSP-铜川市-2025-00874</w:t>
      </w:r>
      <w:r>
        <w:br/>
      </w:r>
      <w:r>
        <w:br/>
      </w:r>
      <w:r>
        <w:br/>
      </w:r>
    </w:p>
    <w:p>
      <w:pPr>
        <w:pStyle w:val="null3"/>
        <w:jc w:val="center"/>
        <w:outlineLvl w:val="2"/>
      </w:pPr>
      <w:r>
        <w:rPr>
          <w:rFonts w:ascii="仿宋_GB2312" w:hAnsi="仿宋_GB2312" w:cs="仿宋_GB2312" w:eastAsia="仿宋_GB2312"/>
          <w:sz w:val="28"/>
          <w:b/>
        </w:rPr>
        <w:t>中共铜川市委党校</w:t>
      </w:r>
    </w:p>
    <w:p>
      <w:pPr>
        <w:pStyle w:val="null3"/>
        <w:jc w:val="center"/>
        <w:outlineLvl w:val="2"/>
      </w:pPr>
      <w:r>
        <w:rPr>
          <w:rFonts w:ascii="仿宋_GB2312" w:hAnsi="仿宋_GB2312" w:cs="仿宋_GB2312" w:eastAsia="仿宋_GB2312"/>
          <w:sz w:val="28"/>
          <w:b/>
        </w:rPr>
        <w:t>陕西通安项目管理有限公司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陕西通安项目管理有限公司</w:t>
      </w:r>
      <w:r>
        <w:rPr>
          <w:rFonts w:ascii="仿宋_GB2312" w:hAnsi="仿宋_GB2312" w:cs="仿宋_GB2312" w:eastAsia="仿宋_GB2312"/>
        </w:rPr>
        <w:t>（以下简称“代理机构”）受</w:t>
      </w:r>
      <w:r>
        <w:rPr>
          <w:rFonts w:ascii="仿宋_GB2312" w:hAnsi="仿宋_GB2312" w:cs="仿宋_GB2312" w:eastAsia="仿宋_GB2312"/>
        </w:rPr>
        <w:t>中共铜川市委党校</w:t>
      </w:r>
      <w:r>
        <w:rPr>
          <w:rFonts w:ascii="仿宋_GB2312" w:hAnsi="仿宋_GB2312" w:cs="仿宋_GB2312" w:eastAsia="仿宋_GB2312"/>
        </w:rPr>
        <w:t>委托，拟对</w:t>
      </w:r>
      <w:r>
        <w:rPr>
          <w:rFonts w:ascii="仿宋_GB2312" w:hAnsi="仿宋_GB2312" w:cs="仿宋_GB2312" w:eastAsia="仿宋_GB2312"/>
        </w:rPr>
        <w:t>市委党校-校园防水、地面维修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ZCSP-铜川市-2025-00874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市委党校-校园防水、地面维修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屋面防水2300㎡，路面坍塌修复5处150㎡，室外球场维修1030㎡，新修建运动步道600㎡，更换供暖水泵2台、直流屏（电池组、控制屏）室外应急电源接入口1个等。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采购包1（市委党校-校园防水、地面维修）：属于专门面向中小企业采购。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2、拟派项目负责人资质和专业要求。：证书等级：供应商须提供建设行政主管部门颁发的建筑工程施工总承包贰级及以上资质，且具有合格有效的安全生产许可证。 专业：（1）拟派项目经理需提供建筑工程专业二级以上（含二级）建造师证书及安全生产考核合格证（建安B证），且在本单位注册，以及无不良信用记录和无在建工程的承诺书。（2）供应商基本信息及项目经理的基本信息在“陕西省住房和城乡建设厅（http://js.shaanxi.gov.cn/）陕西省建筑市场监管与诚信信息发布平台”可查询。</w:t>
      </w:r>
    </w:p>
    <w:p>
      <w:pPr>
        <w:pStyle w:val="null3"/>
      </w:pPr>
      <w:r>
        <w:rPr>
          <w:rFonts w:ascii="仿宋_GB2312" w:hAnsi="仿宋_GB2312" w:cs="仿宋_GB2312" w:eastAsia="仿宋_GB2312"/>
        </w:rPr>
        <w:t>3、财务状况报告：提供具有财务审计资质单位出具的近三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pPr>
        <w:pStyle w:val="null3"/>
      </w:pPr>
      <w:r>
        <w:rPr>
          <w:rFonts w:ascii="仿宋_GB2312" w:hAnsi="仿宋_GB2312" w:cs="仿宋_GB2312" w:eastAsia="仿宋_GB2312"/>
        </w:rPr>
        <w:t>4、税收缴纳证明：提供响应文件递交截止时间前一年内任意一个月的缴费证明（依法免税的供应商应提供相关文件证明 ）；</w:t>
      </w:r>
    </w:p>
    <w:p>
      <w:pPr>
        <w:pStyle w:val="null3"/>
      </w:pPr>
      <w:r>
        <w:rPr>
          <w:rFonts w:ascii="仿宋_GB2312" w:hAnsi="仿宋_GB2312" w:cs="仿宋_GB2312" w:eastAsia="仿宋_GB2312"/>
        </w:rPr>
        <w:t>5、社会保障资金交纳证明：提供响应文件递交截止时间前一年内任意一个月的社保缴费凭据或社保机构开具的社会保险参保缴费情况证明（依法不需要缴纳社会保障资金的供应商应提供相关证明）；</w:t>
      </w:r>
    </w:p>
    <w:p>
      <w:pPr>
        <w:pStyle w:val="null3"/>
      </w:pPr>
      <w:r>
        <w:rPr>
          <w:rFonts w:ascii="仿宋_GB2312" w:hAnsi="仿宋_GB2312" w:cs="仿宋_GB2312" w:eastAsia="仿宋_GB2312"/>
        </w:rPr>
        <w:t>6、承诺、说明及书面声明：1、提供具有履行本合同所必需的设备和专业技术能力的说明及承诺； 2、提供参加政府采购活动前三年内在经营活动中没有重大违法记录的书面声明；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7、法定代表人授权书/法定代表人身份证明：法定代表人参与磋商时需提供法定代表人身份证复印件；被授权人参与磋商时需提供法定代表人授权委托书；</w:t>
      </w:r>
    </w:p>
    <w:p>
      <w:pPr>
        <w:pStyle w:val="null3"/>
      </w:pPr>
      <w:r>
        <w:rPr>
          <w:rFonts w:ascii="仿宋_GB2312" w:hAnsi="仿宋_GB2312" w:cs="仿宋_GB2312" w:eastAsia="仿宋_GB2312"/>
        </w:rPr>
        <w:t>8、信用查询：供应商不得为“信用中国(www.creditchina.gov.cn)”中列入失信被执行人名单的供应商，不得为“ 中国政府采购网(www.ccgp.gov.cn)”政府采购严重违法失信行为记录名单中被财政部门禁止参加政府采购活动的供应商。（必备资格，以评审现场查询结果为准，达不到要求，视为无效）。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中共铜川市委党校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铜川市耀州区长虹北路中段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中共铜川市委党校经办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15009190232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陕西通安项目管理有限公司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陕西省铜川市耀州区大唐五路以南与樱园路以西交汇处产发大厦五楼503室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13991589128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展改革委员会办公厅颁发的《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中共铜川市委党校</w:t>
      </w:r>
      <w:r>
        <w:rPr>
          <w:rFonts w:ascii="仿宋_GB2312" w:hAnsi="仿宋_GB2312" w:cs="仿宋_GB2312" w:eastAsia="仿宋_GB2312"/>
        </w:rPr>
        <w:t>和</w:t>
      </w:r>
      <w:r>
        <w:rPr>
          <w:rFonts w:ascii="仿宋_GB2312" w:hAnsi="仿宋_GB2312" w:cs="仿宋_GB2312" w:eastAsia="仿宋_GB2312"/>
        </w:rPr>
        <w:t>陕西通安项目管理有限公司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中共铜川市委党校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陕西通安项目管理有限公司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中共铜川市委党校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陕西通安项目管理有限公司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按时按质按量按标准完成。</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陕西通安项目管理有限公司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联系电话：13991589128</w:t>
      </w:r>
    </w:p>
    <w:p>
      <w:pPr>
        <w:pStyle w:val="null3"/>
      </w:pPr>
      <w:r>
        <w:rPr>
          <w:rFonts w:ascii="仿宋_GB2312" w:hAnsi="仿宋_GB2312" w:cs="仿宋_GB2312" w:eastAsia="仿宋_GB2312"/>
        </w:rPr>
        <w:t>地址：陕西省铜川市耀州区大唐五路以南与樱园路以西交汇处产发大厦五楼503室</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610,000.00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屋面防水、地面坍塌维修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标的名称：屋面防水、地面坍塌维修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屋面防水2300㎡，路面坍塌修复5处150㎡，室外球场维修1030㎡，新修建运动步道600㎡，更换供暖水泵2台、直流屏（电池组、控制屏）室外应急电源接入口1个等。</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工期：45日历天。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近三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提供复印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证书等级：供应商须提供建设行政主管部门颁发的建筑工程施工总承包贰级及以上资质，且具有合格有效的安全生产许可证。 专业：（1）拟派项目经理需提供建筑工程专业二级以上（含二级）建造师证书及安全生产考核合格证（建安B证），且在本单位注册，以及无不良信用记录和无在建工程的承诺书。（2）供应商基本信息及项目经理的基本信息在“陕西省住房和城乡建设厅（http://js.shaanxi.gov.cn/）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近三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提供响应文件递交截止时间前一年内任意一个月的缴费证明（依法免税的供应商应提供相关文件证明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社会保障资金交纳证明</w:t>
            </w:r>
          </w:p>
        </w:tc>
        <w:tc>
          <w:tcPr>
            <w:tcW w:type="dxa" w:w="3322"/>
          </w:tcPr>
          <w:p>
            <w:pPr>
              <w:pStyle w:val="null3"/>
            </w:pPr>
            <w:r>
              <w:rPr>
                <w:rFonts w:ascii="仿宋_GB2312" w:hAnsi="仿宋_GB2312" w:cs="仿宋_GB2312" w:eastAsia="仿宋_GB2312"/>
              </w:rPr>
              <w:t>提供响应文件递交截止时间前一年内任意一个月的社保缴费凭据或社保机构开具的社会保险参保缴费情况证明（依法不需要缴纳社会保障资金的供应商应提供相关证明）；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承诺、说明及书面声明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法定代表人参与磋商时需提供法定代表人身份证复印件；被授权人参与磋商时需提供法定代表人授权委托书；</w:t>
            </w:r>
          </w:p>
        </w:tc>
        <w:tc>
          <w:tcPr>
            <w:tcW w:type="dxa" w:w="1661"/>
          </w:tcPr>
          <w:p>
            <w:pPr>
              <w:pStyle w:val="null3"/>
            </w:pPr>
            <w:r>
              <w:rPr>
                <w:rFonts w:ascii="仿宋_GB2312" w:hAnsi="仿宋_GB2312" w:cs="仿宋_GB2312" w:eastAsia="仿宋_GB2312"/>
              </w:rPr>
              <w:t>供应商应提交的相关资格证明材料.docx 法定代表人身份证明书.docx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供应商不得为“信用中国(www.creditchina.gov.cn)”中列入失信被执行人名单的供应商，不得为“ 中国政府采购网(www.ccgp.gov.cn)”政府采购严重违法失信行为记录名单中被财政部门禁止参加政府采购活动的供应商。（必备资格，以评审现场查询结果为准，达不到要求，视为无效）。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响应文件格式及签字盖章、格式</w:t>
            </w:r>
          </w:p>
        </w:tc>
        <w:tc>
          <w:tcPr>
            <w:tcW w:type="dxa" w:w="3322"/>
          </w:tcPr>
          <w:p>
            <w:pPr>
              <w:pStyle w:val="null3"/>
            </w:pPr>
            <w:r>
              <w:rPr>
                <w:rFonts w:ascii="仿宋_GB2312" w:hAnsi="仿宋_GB2312" w:cs="仿宋_GB2312" w:eastAsia="仿宋_GB2312"/>
              </w:rPr>
              <w:t>完全响应磋商文件格式要求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供应商应提交的相关资格证明材料.docx 法定代表人身份证明书.docx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工期满足采购文件要求</w:t>
            </w:r>
          </w:p>
        </w:tc>
        <w:tc>
          <w:tcPr>
            <w:tcW w:type="dxa" w:w="1661"/>
          </w:tcPr>
          <w:p>
            <w:pPr>
              <w:pStyle w:val="null3"/>
            </w:pPr>
            <w:r>
              <w:rPr>
                <w:rFonts w:ascii="仿宋_GB2312" w:hAnsi="仿宋_GB2312" w:cs="仿宋_GB2312" w:eastAsia="仿宋_GB2312"/>
              </w:rPr>
              <w:t>技术方案.docx 报价函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工程质量</w:t>
            </w:r>
          </w:p>
        </w:tc>
        <w:tc>
          <w:tcPr>
            <w:tcW w:type="dxa" w:w="2492"/>
          </w:tcPr>
          <w:p>
            <w:pPr>
              <w:pStyle w:val="null3"/>
            </w:pPr>
            <w:r>
              <w:rPr>
                <w:rFonts w:ascii="仿宋_GB2312" w:hAnsi="仿宋_GB2312" w:cs="仿宋_GB2312" w:eastAsia="仿宋_GB2312"/>
              </w:rPr>
              <w:t>确保工程质量的技术组织措施(1-6分)，磋商小组根据供应商磋商方案横向比较给与赋分。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w:t>
            </w:r>
          </w:p>
        </w:tc>
        <w:tc>
          <w:tcPr>
            <w:tcW w:type="dxa" w:w="2492"/>
          </w:tcPr>
          <w:p>
            <w:pPr>
              <w:pStyle w:val="null3"/>
            </w:pPr>
            <w:r>
              <w:rPr>
                <w:rFonts w:ascii="仿宋_GB2312" w:hAnsi="仿宋_GB2312" w:cs="仿宋_GB2312" w:eastAsia="仿宋_GB2312"/>
              </w:rPr>
              <w:t>确保安全生产的技术组织措施(1-6分)，磋商小组根据供应商磋商方案横向比较给与赋分。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w:t>
            </w:r>
          </w:p>
        </w:tc>
        <w:tc>
          <w:tcPr>
            <w:tcW w:type="dxa" w:w="2492"/>
          </w:tcPr>
          <w:p>
            <w:pPr>
              <w:pStyle w:val="null3"/>
            </w:pPr>
            <w:r>
              <w:rPr>
                <w:rFonts w:ascii="仿宋_GB2312" w:hAnsi="仿宋_GB2312" w:cs="仿宋_GB2312" w:eastAsia="仿宋_GB2312"/>
              </w:rPr>
              <w:t>确保工期的技术组织措施(1-6分)，磋商小组根据供应商磋商方案横向比较给与赋分。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w:t>
            </w:r>
          </w:p>
        </w:tc>
        <w:tc>
          <w:tcPr>
            <w:tcW w:type="dxa" w:w="2492"/>
          </w:tcPr>
          <w:p>
            <w:pPr>
              <w:pStyle w:val="null3"/>
            </w:pPr>
            <w:r>
              <w:rPr>
                <w:rFonts w:ascii="仿宋_GB2312" w:hAnsi="仿宋_GB2312" w:cs="仿宋_GB2312" w:eastAsia="仿宋_GB2312"/>
              </w:rPr>
              <w:t>确保文明施工的技术组织措施及环境保护措施(1-6分)，磋商小组根据供应商磋商方案横向比较给与赋分。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施工方案及项目组织机构</w:t>
            </w:r>
          </w:p>
        </w:tc>
        <w:tc>
          <w:tcPr>
            <w:tcW w:type="dxa" w:w="2492"/>
          </w:tcPr>
          <w:p>
            <w:pPr>
              <w:pStyle w:val="null3"/>
            </w:pPr>
            <w:r>
              <w:rPr>
                <w:rFonts w:ascii="仿宋_GB2312" w:hAnsi="仿宋_GB2312" w:cs="仿宋_GB2312" w:eastAsia="仿宋_GB2312"/>
              </w:rPr>
              <w:t>施工方案及项目组织机构；(1-10分)，磋商小组根据供应商磋商方案横向比较给与赋分。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机械设备</w:t>
            </w:r>
          </w:p>
        </w:tc>
        <w:tc>
          <w:tcPr>
            <w:tcW w:type="dxa" w:w="2492"/>
          </w:tcPr>
          <w:p>
            <w:pPr>
              <w:pStyle w:val="null3"/>
            </w:pPr>
            <w:r>
              <w:rPr>
                <w:rFonts w:ascii="仿宋_GB2312" w:hAnsi="仿宋_GB2312" w:cs="仿宋_GB2312" w:eastAsia="仿宋_GB2312"/>
              </w:rPr>
              <w:t>施工机械配备和材料投入计划；(1-6分)，磋商小组根据供应商磋商方案横向比较给与赋分。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施工进度计划及施工进度表或施工网络图；(1-6分)，磋商小组根据供应商磋商方案横向比较给与赋分。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项目部人员齐全合理，分工明确(1-6分)，磋商小组根据供应商磋商方案横向比较给与赋分。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w:t>
            </w:r>
          </w:p>
        </w:tc>
        <w:tc>
          <w:tcPr>
            <w:tcW w:type="dxa" w:w="2492"/>
          </w:tcPr>
          <w:p>
            <w:pPr>
              <w:pStyle w:val="null3"/>
            </w:pPr>
            <w:r>
              <w:rPr>
                <w:rFonts w:ascii="仿宋_GB2312" w:hAnsi="仿宋_GB2312" w:cs="仿宋_GB2312" w:eastAsia="仿宋_GB2312"/>
              </w:rPr>
              <w:t>劳动力安排计划；(1-6分)，磋商小组根据供应商磋商方案横向比较给与赋分。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对后期工程后续问题做出承诺(1-6分)，磋商小组根据供应商磋商方案横向比较给与赋分。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供应商以合同或中标(成交)通知书形式式提供近2022至今类似项目业绩，每提供1份得2分，最高得6分。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磋商评审价为磋商基准价，其价格分为满分。其他供应商的价格分统一按照下列公式计算：有效报价得分=（磋商基准价/磋商评审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