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版本号：SYTH-ZFCG-2025-06720251119002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铜川市樱桃种质资源圃生产能力提升项目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SYTH-ZFCG-2025-067</w:t>
      </w:r>
      <w:r>
        <w:br/>
      </w:r>
      <w:r>
        <w:br/>
      </w:r>
      <w:r>
        <w:br/>
      </w:r>
    </w:p>
    <w:p>
      <w:pPr>
        <w:pStyle w:val="null3"/>
        <w:jc w:val="center"/>
        <w:outlineLvl w:val="2"/>
      </w:pPr>
      <w:r>
        <w:rPr>
          <w:rFonts w:ascii="仿宋_GB2312" w:hAnsi="仿宋_GB2312" w:cs="仿宋_GB2312" w:eastAsia="仿宋_GB2312"/>
          <w:sz w:val="28"/>
          <w:b/>
        </w:rPr>
        <w:t>铜川市园艺工作站</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铜川市园艺工作站</w:t>
      </w:r>
      <w:r>
        <w:rPr>
          <w:rFonts w:ascii="仿宋_GB2312" w:hAnsi="仿宋_GB2312" w:cs="仿宋_GB2312" w:eastAsia="仿宋_GB2312"/>
        </w:rPr>
        <w:t>委托，拟对</w:t>
      </w:r>
      <w:r>
        <w:rPr>
          <w:rFonts w:ascii="仿宋_GB2312" w:hAnsi="仿宋_GB2312" w:cs="仿宋_GB2312" w:eastAsia="仿宋_GB2312"/>
        </w:rPr>
        <w:t>铜川市樱桃种质资源圃生产能力提升项目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铜川市樱桃种质资源圃生产能力提升项目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采购樱桃树苗，基础设施，生产设施机械，肥料，农药等。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采购包1（铜川市樱桃种质资源圃生产能力提升项目）：属于专门面向中小企业采购。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六个月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投标单位，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铜川市园艺工作站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铜川市新区朝阳路铜川政务10楼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惠雨萌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18700690372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铜川市园艺工作站</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铜川市园艺工作站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铜川市园艺工作站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联系人：肖楠</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采购樱桃种苗，基础设施，生产设施机械，肥料，农药等。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樱桃种苗</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电动剪刀</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电动液压升降平台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自走式喷杆喷雾机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大马力割草机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生物有机肥</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复合肥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缓释肥</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发枝素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氟硅唑</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甲基硫菌灵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短稳杆菌</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苯醚甲环唑</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多菌灵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波尔多液</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毒死蜱颗粒</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毒死蜱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吡虫啉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阿维菌素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芸苔素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标的名称：樱桃种苗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333333"/>
              </w:rPr>
              <w:t>龙珠、艳阳、红灯、巴托、早大果、龙冠、雷尼尔、明珠、泰山朝阳、秦樱</w:t>
            </w:r>
            <w:r>
              <w:rPr>
                <w:rFonts w:ascii="仿宋_GB2312" w:hAnsi="仿宋_GB2312" w:cs="仿宋_GB2312" w:eastAsia="仿宋_GB2312"/>
                <w:sz w:val="21"/>
                <w:color w:val="333333"/>
              </w:rPr>
              <w:t>1号、吉美、</w:t>
            </w:r>
            <w:r>
              <w:rPr>
                <w:rFonts w:ascii="仿宋_GB2312" w:hAnsi="仿宋_GB2312" w:cs="仿宋_GB2312" w:eastAsia="仿宋_GB2312"/>
                <w:sz w:val="21"/>
                <w:color w:val="333333"/>
              </w:rPr>
              <w:t>斯坦拉、先锋、兰伯特、</w:t>
            </w:r>
            <w:r>
              <w:rPr>
                <w:rFonts w:ascii="仿宋_GB2312" w:hAnsi="仿宋_GB2312" w:cs="仿宋_GB2312" w:eastAsia="仿宋_GB2312"/>
                <w:sz w:val="21"/>
                <w:color w:val="333333"/>
              </w:rPr>
              <w:t>YT3等15个品种各20株，拉宾斯100株，其他砧木品种（国家桃产业体系樱桃岗站引进）100株</w:t>
            </w:r>
          </w:p>
        </w:tc>
      </w:tr>
    </w:tbl>
    <w:p>
      <w:pPr>
        <w:pStyle w:val="null3"/>
      </w:pPr>
      <w:r>
        <w:rPr>
          <w:rFonts w:ascii="仿宋_GB2312" w:hAnsi="仿宋_GB2312" w:cs="仿宋_GB2312" w:eastAsia="仿宋_GB2312"/>
        </w:rPr>
        <w:t>标的名称：电动剪刀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:16.8v</w:t>
            </w:r>
          </w:p>
          <w:p>
            <w:pPr>
              <w:pStyle w:val="null3"/>
              <w:jc w:val="left"/>
            </w:pP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≥75wh</w:t>
            </w:r>
          </w:p>
          <w:p>
            <w:pPr>
              <w:pStyle w:val="null3"/>
              <w:jc w:val="left"/>
            </w:pPr>
            <w:r>
              <w:rPr>
                <w:rFonts w:ascii="仿宋_GB2312" w:hAnsi="仿宋_GB2312" w:cs="仿宋_GB2312" w:eastAsia="仿宋_GB2312"/>
                <w:sz w:val="20"/>
                <w:color w:val="000000"/>
              </w:rPr>
              <w:t>电流保护</w:t>
            </w:r>
            <w:r>
              <w:rPr>
                <w:rFonts w:ascii="仿宋_GB2312" w:hAnsi="仿宋_GB2312" w:cs="仿宋_GB2312" w:eastAsia="仿宋_GB2312"/>
                <w:sz w:val="20"/>
                <w:color w:val="000000"/>
              </w:rPr>
              <w:t>:≥80A</w:t>
            </w:r>
          </w:p>
          <w:p>
            <w:pPr>
              <w:pStyle w:val="null3"/>
              <w:jc w:val="left"/>
            </w:pPr>
            <w:r>
              <w:rPr>
                <w:rFonts w:ascii="仿宋_GB2312" w:hAnsi="仿宋_GB2312" w:cs="仿宋_GB2312" w:eastAsia="仿宋_GB2312"/>
                <w:sz w:val="20"/>
                <w:color w:val="000000"/>
              </w:rPr>
              <w:t>电机尺寸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≥3150</w:t>
            </w:r>
          </w:p>
          <w:p>
            <w:pPr>
              <w:pStyle w:val="null3"/>
              <w:jc w:val="left"/>
            </w:pPr>
            <w:r>
              <w:rPr>
                <w:rFonts w:ascii="仿宋_GB2312" w:hAnsi="仿宋_GB2312" w:cs="仿宋_GB2312" w:eastAsia="仿宋_GB2312"/>
                <w:sz w:val="20"/>
                <w:color w:val="000000"/>
              </w:rPr>
              <w:t>电池含量</w:t>
            </w:r>
            <w:r>
              <w:rPr>
                <w:rFonts w:ascii="仿宋_GB2312" w:hAnsi="仿宋_GB2312" w:cs="仿宋_GB2312" w:eastAsia="仿宋_GB2312"/>
                <w:sz w:val="20"/>
                <w:color w:val="000000"/>
              </w:rPr>
              <w:t>:</w:t>
            </w:r>
            <w:r>
              <w:rPr>
                <w:rFonts w:ascii="仿宋_GB2312" w:hAnsi="仿宋_GB2312" w:cs="仿宋_GB2312" w:eastAsia="仿宋_GB2312"/>
                <w:sz w:val="20"/>
                <w:color w:val="000000"/>
              </w:rPr>
              <w:t>≥4500mah</w:t>
            </w:r>
          </w:p>
          <w:p>
            <w:pPr>
              <w:pStyle w:val="null3"/>
              <w:jc w:val="left"/>
            </w:pPr>
            <w:r>
              <w:rPr>
                <w:rFonts w:ascii="仿宋_GB2312" w:hAnsi="仿宋_GB2312" w:cs="仿宋_GB2312" w:eastAsia="仿宋_GB2312"/>
                <w:sz w:val="20"/>
                <w:color w:val="000000"/>
              </w:rPr>
              <w:t>剪切尺寸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w:t>
            </w:r>
          </w:p>
          <w:p>
            <w:pPr>
              <w:pStyle w:val="null3"/>
              <w:jc w:val="left"/>
            </w:pPr>
            <w:r>
              <w:rPr>
                <w:rFonts w:ascii="仿宋_GB2312" w:hAnsi="仿宋_GB2312" w:cs="仿宋_GB2312" w:eastAsia="仿宋_GB2312"/>
                <w:sz w:val="20"/>
                <w:color w:val="000000"/>
              </w:rPr>
              <w:t>整机重量</w:t>
            </w:r>
            <w:r>
              <w:rPr>
                <w:rFonts w:ascii="仿宋_GB2312" w:hAnsi="仿宋_GB2312" w:cs="仿宋_GB2312" w:eastAsia="仿宋_GB2312"/>
                <w:sz w:val="20"/>
                <w:color w:val="000000"/>
              </w:rPr>
              <w:t>:1.05KG</w:t>
            </w:r>
          </w:p>
          <w:p>
            <w:pPr>
              <w:pStyle w:val="null3"/>
              <w:jc w:val="left"/>
            </w:pPr>
            <w:r>
              <w:rPr>
                <w:rFonts w:ascii="仿宋_GB2312" w:hAnsi="仿宋_GB2312" w:cs="仿宋_GB2312" w:eastAsia="仿宋_GB2312"/>
                <w:sz w:val="20"/>
                <w:color w:val="000000"/>
              </w:rPr>
              <w:t>充电时间</w:t>
            </w:r>
            <w:r>
              <w:rPr>
                <w:rFonts w:ascii="仿宋_GB2312" w:hAnsi="仿宋_GB2312" w:cs="仿宋_GB2312" w:eastAsia="仿宋_GB2312"/>
                <w:sz w:val="20"/>
                <w:color w:val="000000"/>
              </w:rPr>
              <w:t>:双充4-5h使用时间:双电8-10h</w:t>
            </w:r>
          </w:p>
        </w:tc>
      </w:tr>
    </w:tbl>
    <w:p>
      <w:pPr>
        <w:pStyle w:val="null3"/>
      </w:pPr>
      <w:r>
        <w:rPr>
          <w:rFonts w:ascii="仿宋_GB2312" w:hAnsi="仿宋_GB2312" w:cs="仿宋_GB2312" w:eastAsia="仿宋_GB2312"/>
        </w:rPr>
        <w:t>标的名称：电动液压升降平台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长</w:t>
            </w:r>
            <w:r>
              <w:rPr>
                <w:rFonts w:ascii="仿宋_GB2312" w:hAnsi="仿宋_GB2312" w:cs="仿宋_GB2312" w:eastAsia="仿宋_GB2312"/>
                <w:sz w:val="20"/>
                <w:color w:val="000000"/>
              </w:rPr>
              <w:t>*宽*高：</w:t>
            </w:r>
            <w:r>
              <w:rPr>
                <w:rFonts w:ascii="仿宋_GB2312" w:hAnsi="仿宋_GB2312" w:cs="仿宋_GB2312" w:eastAsia="仿宋_GB2312"/>
                <w:sz w:val="20"/>
                <w:color w:val="000000"/>
              </w:rPr>
              <w:t>≥</w:t>
            </w:r>
            <w:r>
              <w:rPr>
                <w:rFonts w:ascii="仿宋_GB2312" w:hAnsi="仿宋_GB2312" w:cs="仿宋_GB2312" w:eastAsia="仿宋_GB2312"/>
                <w:sz w:val="20"/>
                <w:color w:val="000000"/>
              </w:rPr>
              <w:t>2100*1500*2000mm</w:t>
            </w:r>
          </w:p>
          <w:p>
            <w:pPr>
              <w:pStyle w:val="null3"/>
              <w:jc w:val="left"/>
            </w:pPr>
            <w:r>
              <w:rPr>
                <w:rFonts w:ascii="仿宋_GB2312" w:hAnsi="仿宋_GB2312" w:cs="仿宋_GB2312" w:eastAsia="仿宋_GB2312"/>
                <w:sz w:val="20"/>
                <w:color w:val="000000"/>
              </w:rPr>
              <w:t>底盘宽度</w:t>
            </w:r>
            <w:r>
              <w:rPr>
                <w:rFonts w:ascii="仿宋_GB2312" w:hAnsi="仿宋_GB2312" w:cs="仿宋_GB2312" w:eastAsia="仿宋_GB2312"/>
                <w:sz w:val="20"/>
                <w:color w:val="000000"/>
              </w:rPr>
              <w:t>:1500mm</w:t>
            </w:r>
          </w:p>
          <w:p>
            <w:pPr>
              <w:pStyle w:val="null3"/>
              <w:jc w:val="left"/>
            </w:pPr>
            <w:r>
              <w:rPr>
                <w:rFonts w:ascii="仿宋_GB2312" w:hAnsi="仿宋_GB2312" w:cs="仿宋_GB2312" w:eastAsia="仿宋_GB2312"/>
                <w:sz w:val="20"/>
                <w:color w:val="000000"/>
              </w:rPr>
              <w:t>履带接地长度</w:t>
            </w:r>
            <w:r>
              <w:rPr>
                <w:rFonts w:ascii="仿宋_GB2312" w:hAnsi="仿宋_GB2312" w:cs="仿宋_GB2312" w:eastAsia="仿宋_GB2312"/>
                <w:sz w:val="20"/>
                <w:color w:val="000000"/>
              </w:rPr>
              <w:t>:1300mm</w:t>
            </w:r>
          </w:p>
          <w:p>
            <w:pPr>
              <w:pStyle w:val="null3"/>
              <w:jc w:val="left"/>
            </w:pPr>
            <w:r>
              <w:rPr>
                <w:rFonts w:ascii="仿宋_GB2312" w:hAnsi="仿宋_GB2312" w:cs="仿宋_GB2312" w:eastAsia="仿宋_GB2312"/>
                <w:sz w:val="20"/>
                <w:color w:val="000000"/>
              </w:rPr>
              <w:t>履带规格</w:t>
            </w:r>
            <w:r>
              <w:rPr>
                <w:rFonts w:ascii="仿宋_GB2312" w:hAnsi="仿宋_GB2312" w:cs="仿宋_GB2312" w:eastAsia="仿宋_GB2312"/>
                <w:sz w:val="20"/>
                <w:color w:val="000000"/>
              </w:rPr>
              <w:t>:180*72*50mm深尺钢丝</w:t>
            </w:r>
          </w:p>
          <w:p>
            <w:pPr>
              <w:pStyle w:val="null3"/>
              <w:jc w:val="left"/>
            </w:pPr>
            <w:r>
              <w:rPr>
                <w:rFonts w:ascii="仿宋_GB2312" w:hAnsi="仿宋_GB2312" w:cs="仿宋_GB2312" w:eastAsia="仿宋_GB2312"/>
                <w:sz w:val="20"/>
                <w:color w:val="000000"/>
              </w:rPr>
              <w:t>电机</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DC48V/2000W 2台</w:t>
            </w:r>
          </w:p>
          <w:p>
            <w:pPr>
              <w:pStyle w:val="null3"/>
              <w:jc w:val="left"/>
            </w:pPr>
            <w:r>
              <w:rPr>
                <w:rFonts w:ascii="仿宋_GB2312" w:hAnsi="仿宋_GB2312" w:cs="仿宋_GB2312" w:eastAsia="仿宋_GB2312"/>
                <w:sz w:val="20"/>
                <w:color w:val="000000"/>
              </w:rPr>
              <w:t>减速机</w:t>
            </w:r>
            <w:r>
              <w:rPr>
                <w:rFonts w:ascii="仿宋_GB2312" w:hAnsi="仿宋_GB2312" w:cs="仿宋_GB2312" w:eastAsia="仿宋_GB2312"/>
                <w:sz w:val="20"/>
                <w:color w:val="000000"/>
              </w:rPr>
              <w:t>:RV75 2台</w:t>
            </w:r>
          </w:p>
          <w:p>
            <w:pPr>
              <w:pStyle w:val="null3"/>
              <w:jc w:val="left"/>
            </w:pPr>
            <w:r>
              <w:rPr>
                <w:rFonts w:ascii="仿宋_GB2312" w:hAnsi="仿宋_GB2312" w:cs="仿宋_GB2312" w:eastAsia="仿宋_GB2312"/>
                <w:sz w:val="20"/>
                <w:color w:val="000000"/>
              </w:rPr>
              <w:t>充电电压</w:t>
            </w:r>
            <w:r>
              <w:rPr>
                <w:rFonts w:ascii="仿宋_GB2312" w:hAnsi="仿宋_GB2312" w:cs="仿宋_GB2312" w:eastAsia="仿宋_GB2312"/>
                <w:sz w:val="20"/>
                <w:color w:val="000000"/>
              </w:rPr>
              <w:t>:220V</w:t>
            </w:r>
          </w:p>
          <w:p>
            <w:pPr>
              <w:pStyle w:val="null3"/>
              <w:jc w:val="left"/>
            </w:pPr>
            <w:r>
              <w:rPr>
                <w:rFonts w:ascii="仿宋_GB2312" w:hAnsi="仿宋_GB2312" w:cs="仿宋_GB2312" w:eastAsia="仿宋_GB2312"/>
                <w:sz w:val="20"/>
                <w:color w:val="000000"/>
              </w:rPr>
              <w:t>满载续航时间</w:t>
            </w:r>
            <w:r>
              <w:rPr>
                <w:rFonts w:ascii="仿宋_GB2312" w:hAnsi="仿宋_GB2312" w:cs="仿宋_GB2312" w:eastAsia="仿宋_GB2312"/>
                <w:sz w:val="20"/>
                <w:color w:val="000000"/>
              </w:rPr>
              <w:t>:3-4h</w:t>
            </w:r>
          </w:p>
          <w:p>
            <w:pPr>
              <w:pStyle w:val="null3"/>
              <w:jc w:val="left"/>
            </w:pPr>
            <w:r>
              <w:rPr>
                <w:rFonts w:ascii="仿宋_GB2312" w:hAnsi="仿宋_GB2312" w:cs="仿宋_GB2312" w:eastAsia="仿宋_GB2312"/>
                <w:sz w:val="20"/>
                <w:color w:val="000000"/>
              </w:rPr>
              <w:t>工作平台尺寸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2100*1500mm</w:t>
            </w:r>
          </w:p>
          <w:p>
            <w:pPr>
              <w:pStyle w:val="null3"/>
              <w:jc w:val="left"/>
            </w:pPr>
            <w:r>
              <w:rPr>
                <w:rFonts w:ascii="仿宋_GB2312" w:hAnsi="仿宋_GB2312" w:cs="仿宋_GB2312" w:eastAsia="仿宋_GB2312"/>
                <w:sz w:val="20"/>
                <w:color w:val="000000"/>
              </w:rPr>
              <w:t>平台扩展宽度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2500mm</w:t>
            </w:r>
          </w:p>
          <w:p>
            <w:pPr>
              <w:pStyle w:val="null3"/>
              <w:jc w:val="left"/>
            </w:pPr>
            <w:r>
              <w:rPr>
                <w:rFonts w:ascii="仿宋_GB2312" w:hAnsi="仿宋_GB2312" w:cs="仿宋_GB2312" w:eastAsia="仿宋_GB2312"/>
                <w:sz w:val="20"/>
                <w:color w:val="000000"/>
              </w:rPr>
              <w:t>平台升降范围</w:t>
            </w:r>
            <w:r>
              <w:rPr>
                <w:rFonts w:ascii="仿宋_GB2312" w:hAnsi="仿宋_GB2312" w:cs="仿宋_GB2312" w:eastAsia="仿宋_GB2312"/>
                <w:sz w:val="20"/>
                <w:color w:val="000000"/>
              </w:rPr>
              <w:t>:1050-2100mm</w:t>
            </w:r>
          </w:p>
          <w:p>
            <w:pPr>
              <w:pStyle w:val="null3"/>
              <w:jc w:val="left"/>
            </w:pPr>
            <w:r>
              <w:rPr>
                <w:rFonts w:ascii="仿宋_GB2312" w:hAnsi="仿宋_GB2312" w:cs="仿宋_GB2312" w:eastAsia="仿宋_GB2312"/>
                <w:sz w:val="20"/>
                <w:color w:val="000000"/>
              </w:rPr>
              <w:t>升降及扩展方式</w:t>
            </w:r>
            <w:r>
              <w:rPr>
                <w:rFonts w:ascii="仿宋_GB2312" w:hAnsi="仿宋_GB2312" w:cs="仿宋_GB2312" w:eastAsia="仿宋_GB2312"/>
                <w:sz w:val="20"/>
                <w:color w:val="000000"/>
              </w:rPr>
              <w:t>:液压升降，油缸扩展</w:t>
            </w:r>
          </w:p>
          <w:p>
            <w:pPr>
              <w:pStyle w:val="null3"/>
              <w:jc w:val="left"/>
            </w:pPr>
            <w:r>
              <w:rPr>
                <w:rFonts w:ascii="仿宋_GB2312" w:hAnsi="仿宋_GB2312" w:cs="仿宋_GB2312" w:eastAsia="仿宋_GB2312"/>
                <w:sz w:val="20"/>
                <w:color w:val="000000"/>
              </w:rPr>
              <w:t>最大举升重量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500kg；</w:t>
            </w:r>
          </w:p>
          <w:p>
            <w:pPr>
              <w:pStyle w:val="null3"/>
              <w:jc w:val="left"/>
            </w:pPr>
            <w:r>
              <w:rPr>
                <w:rFonts w:ascii="仿宋_GB2312" w:hAnsi="仿宋_GB2312" w:cs="仿宋_GB2312" w:eastAsia="仿宋_GB2312"/>
                <w:sz w:val="20"/>
                <w:color w:val="000000"/>
              </w:rPr>
              <w:t>履带式，装载负荷</w:t>
            </w:r>
            <w:r>
              <w:rPr>
                <w:rFonts w:ascii="仿宋_GB2312" w:hAnsi="仿宋_GB2312" w:cs="仿宋_GB2312" w:eastAsia="仿宋_GB2312"/>
                <w:sz w:val="20"/>
                <w:color w:val="000000"/>
              </w:rPr>
              <w:t>≥500kg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整车自重</w:t>
            </w:r>
            <w:r>
              <w:rPr>
                <w:rFonts w:ascii="仿宋_GB2312" w:hAnsi="仿宋_GB2312" w:cs="仿宋_GB2312" w:eastAsia="仿宋_GB2312"/>
                <w:sz w:val="20"/>
                <w:color w:val="000000"/>
              </w:rPr>
              <w:t>:1.2吨左右</w:t>
            </w:r>
          </w:p>
          <w:p>
            <w:pPr>
              <w:pStyle w:val="null3"/>
              <w:jc w:val="left"/>
            </w:pPr>
            <w:r>
              <w:rPr>
                <w:rFonts w:ascii="仿宋_GB2312" w:hAnsi="仿宋_GB2312" w:cs="仿宋_GB2312" w:eastAsia="仿宋_GB2312"/>
                <w:sz w:val="20"/>
                <w:color w:val="000000"/>
              </w:rPr>
              <w:t>最大行走速度</w:t>
            </w:r>
            <w:r>
              <w:rPr>
                <w:rFonts w:ascii="仿宋_GB2312" w:hAnsi="仿宋_GB2312" w:cs="仿宋_GB2312" w:eastAsia="仿宋_GB2312"/>
                <w:sz w:val="20"/>
                <w:color w:val="000000"/>
              </w:rPr>
              <w:t>:0-3km/h</w:t>
            </w:r>
          </w:p>
        </w:tc>
      </w:tr>
    </w:tbl>
    <w:p>
      <w:pPr>
        <w:pStyle w:val="null3"/>
      </w:pPr>
      <w:r>
        <w:rPr>
          <w:rFonts w:ascii="仿宋_GB2312" w:hAnsi="仿宋_GB2312" w:cs="仿宋_GB2312" w:eastAsia="仿宋_GB2312"/>
        </w:rPr>
        <w:t>标的名称：自走式喷杆喷雾机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配套动力</w:t>
            </w:r>
            <w:r>
              <w:rPr>
                <w:rFonts w:ascii="仿宋_GB2312" w:hAnsi="仿宋_GB2312" w:cs="仿宋_GB2312" w:eastAsia="仿宋_GB2312"/>
                <w:sz w:val="20"/>
                <w:color w:val="000000"/>
              </w:rPr>
              <w:t>:</w:t>
            </w:r>
            <w:r>
              <w:rPr>
                <w:rFonts w:ascii="仿宋_GB2312" w:hAnsi="仿宋_GB2312" w:cs="仿宋_GB2312" w:eastAsia="仿宋_GB2312"/>
                <w:sz w:val="20"/>
                <w:color w:val="000000"/>
              </w:rPr>
              <w:t>≥15马力柴油机电启动</w:t>
            </w:r>
          </w:p>
          <w:p>
            <w:pPr>
              <w:pStyle w:val="null3"/>
              <w:jc w:val="left"/>
            </w:pPr>
            <w:r>
              <w:rPr>
                <w:rFonts w:ascii="仿宋_GB2312" w:hAnsi="仿宋_GB2312" w:cs="仿宋_GB2312" w:eastAsia="仿宋_GB2312"/>
                <w:sz w:val="20"/>
                <w:color w:val="000000"/>
              </w:rPr>
              <w:t>行走方式，自走式</w:t>
            </w:r>
          </w:p>
          <w:p>
            <w:pPr>
              <w:pStyle w:val="null3"/>
              <w:jc w:val="left"/>
            </w:pPr>
            <w:r>
              <w:rPr>
                <w:rFonts w:ascii="仿宋_GB2312" w:hAnsi="仿宋_GB2312" w:cs="仿宋_GB2312" w:eastAsia="仿宋_GB2312"/>
                <w:sz w:val="20"/>
                <w:color w:val="000000"/>
              </w:rPr>
              <w:t>药泵流量，</w:t>
            </w:r>
            <w:r>
              <w:rPr>
                <w:rFonts w:ascii="仿宋_GB2312" w:hAnsi="仿宋_GB2312" w:cs="仿宋_GB2312" w:eastAsia="仿宋_GB2312"/>
                <w:sz w:val="20"/>
                <w:color w:val="000000"/>
              </w:rPr>
              <w:t>32-48L/min</w:t>
            </w:r>
          </w:p>
          <w:p>
            <w:pPr>
              <w:pStyle w:val="null3"/>
              <w:jc w:val="left"/>
            </w:pPr>
            <w:r>
              <w:rPr>
                <w:rFonts w:ascii="仿宋_GB2312" w:hAnsi="仿宋_GB2312" w:cs="仿宋_GB2312" w:eastAsia="仿宋_GB2312"/>
                <w:sz w:val="20"/>
                <w:color w:val="000000"/>
              </w:rPr>
              <w:t>喷头数量</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≥8组</w:t>
            </w:r>
          </w:p>
          <w:p>
            <w:pPr>
              <w:pStyle w:val="null3"/>
              <w:jc w:val="left"/>
            </w:pPr>
            <w:r>
              <w:rPr>
                <w:rFonts w:ascii="仿宋_GB2312" w:hAnsi="仿宋_GB2312" w:cs="仿宋_GB2312" w:eastAsia="仿宋_GB2312"/>
                <w:sz w:val="20"/>
                <w:color w:val="000000"/>
              </w:rPr>
              <w:t>三段折叠式</w:t>
            </w:r>
          </w:p>
          <w:p>
            <w:pPr>
              <w:pStyle w:val="null3"/>
              <w:jc w:val="left"/>
            </w:pPr>
            <w:r>
              <w:rPr>
                <w:rFonts w:ascii="仿宋_GB2312" w:hAnsi="仿宋_GB2312" w:cs="仿宋_GB2312" w:eastAsia="仿宋_GB2312"/>
                <w:sz w:val="20"/>
                <w:color w:val="000000"/>
              </w:rPr>
              <w:t>喷幅宽度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≥3米</w:t>
            </w:r>
          </w:p>
          <w:p>
            <w:pPr>
              <w:pStyle w:val="null3"/>
              <w:jc w:val="left"/>
            </w:pPr>
            <w:r>
              <w:rPr>
                <w:rFonts w:ascii="仿宋_GB2312" w:hAnsi="仿宋_GB2312" w:cs="仿宋_GB2312" w:eastAsia="仿宋_GB2312"/>
                <w:sz w:val="20"/>
                <w:color w:val="000000"/>
              </w:rPr>
              <w:t>药箱容积</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≥300L</w:t>
            </w:r>
          </w:p>
          <w:p>
            <w:pPr>
              <w:pStyle w:val="null3"/>
              <w:jc w:val="left"/>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≥2.4米*1米*0.95米</w:t>
            </w:r>
          </w:p>
        </w:tc>
      </w:tr>
    </w:tbl>
    <w:p>
      <w:pPr>
        <w:pStyle w:val="null3"/>
      </w:pPr>
      <w:r>
        <w:rPr>
          <w:rFonts w:ascii="仿宋_GB2312" w:hAnsi="仿宋_GB2312" w:cs="仿宋_GB2312" w:eastAsia="仿宋_GB2312"/>
        </w:rPr>
        <w:t>标的名称：大马力割草机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整机尺寸：</w:t>
            </w:r>
            <w:r>
              <w:rPr>
                <w:rFonts w:ascii="仿宋_GB2312" w:hAnsi="仿宋_GB2312" w:cs="仿宋_GB2312" w:eastAsia="仿宋_GB2312"/>
                <w:sz w:val="20"/>
                <w:color w:val="000000"/>
              </w:rPr>
              <w:t>≥150cm*95cm*70cm</w:t>
            </w:r>
          </w:p>
          <w:p>
            <w:pPr>
              <w:pStyle w:val="null3"/>
              <w:jc w:val="left"/>
            </w:pPr>
            <w:r>
              <w:rPr>
                <w:rFonts w:ascii="仿宋_GB2312" w:hAnsi="仿宋_GB2312" w:cs="仿宋_GB2312" w:eastAsia="仿宋_GB2312"/>
                <w:sz w:val="20"/>
                <w:color w:val="000000"/>
              </w:rPr>
              <w:t>割草宽度：</w:t>
            </w:r>
            <w:r>
              <w:rPr>
                <w:rFonts w:ascii="仿宋_GB2312" w:hAnsi="仿宋_GB2312" w:cs="仿宋_GB2312" w:eastAsia="仿宋_GB2312"/>
                <w:sz w:val="20"/>
                <w:color w:val="000000"/>
              </w:rPr>
              <w:t>≥80cm</w:t>
            </w:r>
          </w:p>
          <w:p>
            <w:pPr>
              <w:pStyle w:val="null3"/>
              <w:jc w:val="left"/>
            </w:pPr>
            <w:r>
              <w:rPr>
                <w:rFonts w:ascii="仿宋_GB2312" w:hAnsi="仿宋_GB2312" w:cs="仿宋_GB2312" w:eastAsia="仿宋_GB2312"/>
                <w:sz w:val="20"/>
                <w:color w:val="000000"/>
              </w:rPr>
              <w:t>留茬高度：</w:t>
            </w:r>
            <w:r>
              <w:rPr>
                <w:rFonts w:ascii="仿宋_GB2312" w:hAnsi="仿宋_GB2312" w:cs="仿宋_GB2312" w:eastAsia="仿宋_GB2312"/>
                <w:sz w:val="20"/>
                <w:color w:val="000000"/>
              </w:rPr>
              <w:t>5cm-18cm</w:t>
            </w:r>
          </w:p>
          <w:p>
            <w:pPr>
              <w:pStyle w:val="null3"/>
              <w:jc w:val="left"/>
            </w:pPr>
            <w:r>
              <w:rPr>
                <w:rFonts w:ascii="仿宋_GB2312" w:hAnsi="仿宋_GB2312" w:cs="仿宋_GB2312" w:eastAsia="仿宋_GB2312"/>
                <w:sz w:val="20"/>
                <w:color w:val="000000"/>
              </w:rPr>
              <w:t>割草方式：垂式甩刀</w:t>
            </w:r>
          </w:p>
          <w:p>
            <w:pPr>
              <w:pStyle w:val="null3"/>
              <w:jc w:val="left"/>
            </w:pPr>
            <w:r>
              <w:rPr>
                <w:rFonts w:ascii="仿宋_GB2312" w:hAnsi="仿宋_GB2312" w:cs="仿宋_GB2312" w:eastAsia="仿宋_GB2312"/>
                <w:sz w:val="20"/>
                <w:color w:val="000000"/>
              </w:rPr>
              <w:t>操作方式：遥控</w:t>
            </w:r>
          </w:p>
          <w:p>
            <w:pPr>
              <w:pStyle w:val="null3"/>
              <w:jc w:val="left"/>
            </w:pPr>
            <w:r>
              <w:rPr>
                <w:rFonts w:ascii="仿宋_GB2312" w:hAnsi="仿宋_GB2312" w:cs="仿宋_GB2312" w:eastAsia="仿宋_GB2312"/>
                <w:sz w:val="20"/>
                <w:color w:val="000000"/>
              </w:rPr>
              <w:t>遥控距离：</w:t>
            </w:r>
            <w:r>
              <w:rPr>
                <w:rFonts w:ascii="仿宋_GB2312" w:hAnsi="仿宋_GB2312" w:cs="仿宋_GB2312" w:eastAsia="仿宋_GB2312"/>
                <w:sz w:val="20"/>
                <w:color w:val="000000"/>
              </w:rPr>
              <w:t>≤200m</w:t>
            </w:r>
          </w:p>
          <w:p>
            <w:pPr>
              <w:pStyle w:val="null3"/>
              <w:jc w:val="left"/>
            </w:pPr>
            <w:r>
              <w:rPr>
                <w:rFonts w:ascii="仿宋_GB2312" w:hAnsi="仿宋_GB2312" w:cs="仿宋_GB2312" w:eastAsia="仿宋_GB2312"/>
                <w:sz w:val="20"/>
                <w:color w:val="000000"/>
              </w:rPr>
              <w:t>发动机型号：</w:t>
            </w:r>
            <w:r>
              <w:rPr>
                <w:rFonts w:ascii="仿宋_GB2312" w:hAnsi="仿宋_GB2312" w:cs="仿宋_GB2312" w:eastAsia="仿宋_GB2312"/>
                <w:sz w:val="20"/>
                <w:color w:val="000000"/>
              </w:rPr>
              <w:t>195F 柴油发动机</w:t>
            </w:r>
          </w:p>
          <w:p>
            <w:pPr>
              <w:pStyle w:val="null3"/>
              <w:jc w:val="left"/>
            </w:pPr>
            <w:r>
              <w:rPr>
                <w:rFonts w:ascii="仿宋_GB2312" w:hAnsi="仿宋_GB2312" w:cs="仿宋_GB2312" w:eastAsia="仿宋_GB2312"/>
                <w:sz w:val="20"/>
                <w:color w:val="000000"/>
              </w:rPr>
              <w:t>发动机功率：</w:t>
            </w:r>
            <w:r>
              <w:rPr>
                <w:rFonts w:ascii="仿宋_GB2312" w:hAnsi="仿宋_GB2312" w:cs="仿宋_GB2312" w:eastAsia="仿宋_GB2312"/>
                <w:sz w:val="20"/>
                <w:color w:val="000000"/>
              </w:rPr>
              <w:t>8.5kw-9.0kw</w:t>
            </w:r>
          </w:p>
          <w:p>
            <w:pPr>
              <w:pStyle w:val="null3"/>
              <w:jc w:val="left"/>
            </w:pPr>
            <w:r>
              <w:rPr>
                <w:rFonts w:ascii="仿宋_GB2312" w:hAnsi="仿宋_GB2312" w:cs="仿宋_GB2312" w:eastAsia="仿宋_GB2312"/>
                <w:sz w:val="20"/>
                <w:color w:val="000000"/>
              </w:rPr>
              <w:t>发动机转速：</w:t>
            </w:r>
            <w:r>
              <w:rPr>
                <w:rFonts w:ascii="仿宋_GB2312" w:hAnsi="仿宋_GB2312" w:cs="仿宋_GB2312" w:eastAsia="仿宋_GB2312"/>
                <w:sz w:val="20"/>
                <w:color w:val="000000"/>
              </w:rPr>
              <w:t>3600rpm</w:t>
            </w:r>
          </w:p>
          <w:p>
            <w:pPr>
              <w:pStyle w:val="null3"/>
              <w:jc w:val="left"/>
            </w:pPr>
            <w:r>
              <w:rPr>
                <w:rFonts w:ascii="仿宋_GB2312" w:hAnsi="仿宋_GB2312" w:cs="仿宋_GB2312" w:eastAsia="仿宋_GB2312"/>
                <w:sz w:val="20"/>
                <w:color w:val="000000"/>
              </w:rPr>
              <w:t>启动方式：遥控启动</w:t>
            </w:r>
            <w:r>
              <w:rPr>
                <w:rFonts w:ascii="仿宋_GB2312" w:hAnsi="仿宋_GB2312" w:cs="仿宋_GB2312" w:eastAsia="仿宋_GB2312"/>
                <w:sz w:val="20"/>
                <w:color w:val="000000"/>
              </w:rPr>
              <w:t>/电启动</w:t>
            </w:r>
          </w:p>
          <w:p>
            <w:pPr>
              <w:pStyle w:val="null3"/>
              <w:jc w:val="left"/>
            </w:pPr>
            <w:r>
              <w:rPr>
                <w:rFonts w:ascii="仿宋_GB2312" w:hAnsi="仿宋_GB2312" w:cs="仿宋_GB2312" w:eastAsia="仿宋_GB2312"/>
                <w:sz w:val="20"/>
                <w:color w:val="000000"/>
              </w:rPr>
              <w:t>行走方式：履带驱动</w:t>
            </w:r>
          </w:p>
        </w:tc>
      </w:tr>
    </w:tbl>
    <w:p>
      <w:pPr>
        <w:pStyle w:val="null3"/>
      </w:pPr>
      <w:r>
        <w:rPr>
          <w:rFonts w:ascii="仿宋_GB2312" w:hAnsi="仿宋_GB2312" w:cs="仿宋_GB2312" w:eastAsia="仿宋_GB2312"/>
        </w:rPr>
        <w:t>标的名称：生物有机肥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 xml:space="preserve">NY884-2012，活性菌 </w:t>
            </w:r>
            <w:r>
              <w:rPr>
                <w:rFonts w:ascii="仿宋_GB2312" w:hAnsi="仿宋_GB2312" w:cs="仿宋_GB2312" w:eastAsia="仿宋_GB2312"/>
                <w:sz w:val="21"/>
                <w:color w:val="333333"/>
              </w:rPr>
              <w:t>&gt;0.2亿</w:t>
            </w:r>
          </w:p>
        </w:tc>
      </w:tr>
    </w:tbl>
    <w:p>
      <w:pPr>
        <w:pStyle w:val="null3"/>
      </w:pPr>
      <w:r>
        <w:rPr>
          <w:rFonts w:ascii="仿宋_GB2312" w:hAnsi="仿宋_GB2312" w:cs="仿宋_GB2312" w:eastAsia="仿宋_GB2312"/>
        </w:rPr>
        <w:t>标的名称：复合肥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 xml:space="preserve">GB/T15063-2020 平衡 </w:t>
            </w:r>
            <w:r>
              <w:rPr>
                <w:rFonts w:ascii="仿宋_GB2312" w:hAnsi="仿宋_GB2312" w:cs="仿宋_GB2312" w:eastAsia="仿宋_GB2312"/>
                <w:sz w:val="21"/>
                <w:color w:val="333333"/>
              </w:rPr>
              <w:t>肥含量15-15-15</w:t>
            </w:r>
          </w:p>
        </w:tc>
      </w:tr>
    </w:tbl>
    <w:p>
      <w:pPr>
        <w:pStyle w:val="null3"/>
      </w:pPr>
      <w:r>
        <w:rPr>
          <w:rFonts w:ascii="仿宋_GB2312" w:hAnsi="仿宋_GB2312" w:cs="仿宋_GB2312" w:eastAsia="仿宋_GB2312"/>
        </w:rPr>
        <w:t>标的名称：缓释肥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95g×200/件</w:t>
            </w:r>
          </w:p>
        </w:tc>
      </w:tr>
    </w:tbl>
    <w:p>
      <w:pPr>
        <w:pStyle w:val="null3"/>
      </w:pPr>
      <w:r>
        <w:rPr>
          <w:rFonts w:ascii="仿宋_GB2312" w:hAnsi="仿宋_GB2312" w:cs="仿宋_GB2312" w:eastAsia="仿宋_GB2312"/>
        </w:rPr>
        <w:t>标的名称：发枝素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50g×48瓶/件</w:t>
            </w:r>
          </w:p>
        </w:tc>
      </w:tr>
    </w:tbl>
    <w:p>
      <w:pPr>
        <w:pStyle w:val="null3"/>
      </w:pPr>
      <w:r>
        <w:rPr>
          <w:rFonts w:ascii="仿宋_GB2312" w:hAnsi="仿宋_GB2312" w:cs="仿宋_GB2312" w:eastAsia="仿宋_GB2312"/>
        </w:rPr>
        <w:t>标的名称：氟硅唑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50g×100瓶/件，有效</w:t>
            </w:r>
            <w:r>
              <w:rPr>
                <w:rFonts w:ascii="仿宋_GB2312" w:hAnsi="仿宋_GB2312" w:cs="仿宋_GB2312" w:eastAsia="仿宋_GB2312"/>
                <w:sz w:val="21"/>
                <w:color w:val="333333"/>
              </w:rPr>
              <w:t>成分含量大于40%。</w:t>
            </w:r>
          </w:p>
        </w:tc>
      </w:tr>
    </w:tbl>
    <w:p>
      <w:pPr>
        <w:pStyle w:val="null3"/>
      </w:pPr>
      <w:r>
        <w:rPr>
          <w:rFonts w:ascii="仿宋_GB2312" w:hAnsi="仿宋_GB2312" w:cs="仿宋_GB2312" w:eastAsia="仿宋_GB2312"/>
        </w:rPr>
        <w:t>标的名称：甲基硫菌灵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200g×20瓶/件，有效</w:t>
            </w:r>
            <w:r>
              <w:rPr>
                <w:rFonts w:ascii="仿宋_GB2312" w:hAnsi="仿宋_GB2312" w:cs="仿宋_GB2312" w:eastAsia="仿宋_GB2312"/>
                <w:sz w:val="21"/>
                <w:color w:val="333333"/>
              </w:rPr>
              <w:t>成分含量大于50%。</w:t>
            </w:r>
          </w:p>
        </w:tc>
      </w:tr>
    </w:tbl>
    <w:p>
      <w:pPr>
        <w:pStyle w:val="null3"/>
      </w:pPr>
      <w:r>
        <w:rPr>
          <w:rFonts w:ascii="仿宋_GB2312" w:hAnsi="仿宋_GB2312" w:cs="仿宋_GB2312" w:eastAsia="仿宋_GB2312"/>
        </w:rPr>
        <w:t>标的名称：短稳杆菌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500mL×20瓶/件。</w:t>
            </w:r>
          </w:p>
        </w:tc>
      </w:tr>
    </w:tbl>
    <w:p>
      <w:pPr>
        <w:pStyle w:val="null3"/>
      </w:pPr>
      <w:r>
        <w:rPr>
          <w:rFonts w:ascii="仿宋_GB2312" w:hAnsi="仿宋_GB2312" w:cs="仿宋_GB2312" w:eastAsia="仿宋_GB2312"/>
        </w:rPr>
        <w:t>标的名称：苯醚甲环唑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100g×50袋/件，有效</w:t>
            </w:r>
            <w:r>
              <w:rPr>
                <w:rFonts w:ascii="仿宋_GB2312" w:hAnsi="仿宋_GB2312" w:cs="仿宋_GB2312" w:eastAsia="仿宋_GB2312"/>
                <w:sz w:val="21"/>
                <w:color w:val="333333"/>
              </w:rPr>
              <w:t>成分含量大于10%。</w:t>
            </w:r>
          </w:p>
        </w:tc>
      </w:tr>
    </w:tbl>
    <w:p>
      <w:pPr>
        <w:pStyle w:val="null3"/>
      </w:pPr>
      <w:r>
        <w:rPr>
          <w:rFonts w:ascii="仿宋_GB2312" w:hAnsi="仿宋_GB2312" w:cs="仿宋_GB2312" w:eastAsia="仿宋_GB2312"/>
        </w:rPr>
        <w:t>标的名称：多菌灵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200g×50袋/件，有效</w:t>
            </w:r>
            <w:r>
              <w:rPr>
                <w:rFonts w:ascii="仿宋_GB2312" w:hAnsi="仿宋_GB2312" w:cs="仿宋_GB2312" w:eastAsia="仿宋_GB2312"/>
                <w:sz w:val="21"/>
                <w:color w:val="333333"/>
              </w:rPr>
              <w:t>成分含量大于50%。</w:t>
            </w:r>
          </w:p>
        </w:tc>
      </w:tr>
    </w:tbl>
    <w:p>
      <w:pPr>
        <w:pStyle w:val="null3"/>
      </w:pPr>
      <w:r>
        <w:rPr>
          <w:rFonts w:ascii="仿宋_GB2312" w:hAnsi="仿宋_GB2312" w:cs="仿宋_GB2312" w:eastAsia="仿宋_GB2312"/>
        </w:rPr>
        <w:t>标的名称：波尔多液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1kg×10袋/件，有效成</w:t>
            </w:r>
            <w:r>
              <w:rPr>
                <w:rFonts w:ascii="仿宋_GB2312" w:hAnsi="仿宋_GB2312" w:cs="仿宋_GB2312" w:eastAsia="仿宋_GB2312"/>
                <w:sz w:val="21"/>
                <w:color w:val="333333"/>
              </w:rPr>
              <w:t>分含量大于80%。</w:t>
            </w:r>
          </w:p>
        </w:tc>
      </w:tr>
    </w:tbl>
    <w:p>
      <w:pPr>
        <w:pStyle w:val="null3"/>
      </w:pPr>
      <w:r>
        <w:rPr>
          <w:rFonts w:ascii="仿宋_GB2312" w:hAnsi="仿宋_GB2312" w:cs="仿宋_GB2312" w:eastAsia="仿宋_GB2312"/>
        </w:rPr>
        <w:t>标的名称：毒死蜱颗粒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1000g×10袋/件，有效</w:t>
            </w:r>
            <w:r>
              <w:rPr>
                <w:rFonts w:ascii="仿宋_GB2312" w:hAnsi="仿宋_GB2312" w:cs="仿宋_GB2312" w:eastAsia="仿宋_GB2312"/>
                <w:sz w:val="21"/>
                <w:color w:val="333333"/>
              </w:rPr>
              <w:t>成分含量大于15%。</w:t>
            </w:r>
          </w:p>
        </w:tc>
      </w:tr>
    </w:tbl>
    <w:p>
      <w:pPr>
        <w:pStyle w:val="null3"/>
      </w:pPr>
      <w:r>
        <w:rPr>
          <w:rFonts w:ascii="仿宋_GB2312" w:hAnsi="仿宋_GB2312" w:cs="仿宋_GB2312" w:eastAsia="仿宋_GB2312"/>
        </w:rPr>
        <w:t>标的名称：毒死蜱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200g×20袋/件，有效</w:t>
            </w:r>
            <w:r>
              <w:rPr>
                <w:rFonts w:ascii="仿宋_GB2312" w:hAnsi="仿宋_GB2312" w:cs="仿宋_GB2312" w:eastAsia="仿宋_GB2312"/>
                <w:sz w:val="21"/>
                <w:color w:val="333333"/>
              </w:rPr>
              <w:t>成分含量大于40%。</w:t>
            </w:r>
          </w:p>
        </w:tc>
      </w:tr>
    </w:tbl>
    <w:p>
      <w:pPr>
        <w:pStyle w:val="null3"/>
      </w:pPr>
      <w:r>
        <w:rPr>
          <w:rFonts w:ascii="仿宋_GB2312" w:hAnsi="仿宋_GB2312" w:cs="仿宋_GB2312" w:eastAsia="仿宋_GB2312"/>
        </w:rPr>
        <w:t>标的名称：吡虫啉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20g×100袋/件，有效</w:t>
            </w:r>
            <w:r>
              <w:rPr>
                <w:rFonts w:ascii="仿宋_GB2312" w:hAnsi="仿宋_GB2312" w:cs="仿宋_GB2312" w:eastAsia="仿宋_GB2312"/>
                <w:sz w:val="21"/>
                <w:color w:val="333333"/>
              </w:rPr>
              <w:t>成分含量大于70%。</w:t>
            </w:r>
          </w:p>
        </w:tc>
      </w:tr>
    </w:tbl>
    <w:p>
      <w:pPr>
        <w:pStyle w:val="null3"/>
      </w:pPr>
      <w:r>
        <w:rPr>
          <w:rFonts w:ascii="仿宋_GB2312" w:hAnsi="仿宋_GB2312" w:cs="仿宋_GB2312" w:eastAsia="仿宋_GB2312"/>
        </w:rPr>
        <w:t>标的名称：阿维菌素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100g×100瓶/件，有效</w:t>
            </w:r>
            <w:r>
              <w:rPr>
                <w:rFonts w:ascii="仿宋_GB2312" w:hAnsi="仿宋_GB2312" w:cs="仿宋_GB2312" w:eastAsia="仿宋_GB2312"/>
                <w:sz w:val="21"/>
                <w:color w:val="333333"/>
              </w:rPr>
              <w:t>成分含量大于1.8%。</w:t>
            </w:r>
          </w:p>
        </w:tc>
      </w:tr>
    </w:tbl>
    <w:p>
      <w:pPr>
        <w:pStyle w:val="null3"/>
      </w:pPr>
      <w:r>
        <w:rPr>
          <w:rFonts w:ascii="仿宋_GB2312" w:hAnsi="仿宋_GB2312" w:cs="仿宋_GB2312" w:eastAsia="仿宋_GB2312"/>
        </w:rPr>
        <w:t>标的名称：芸苔素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333333"/>
              </w:rPr>
              <w:t>100g×50瓶/件，有效</w:t>
            </w:r>
            <w:r>
              <w:rPr>
                <w:rFonts w:ascii="仿宋_GB2312" w:hAnsi="仿宋_GB2312" w:cs="仿宋_GB2312" w:eastAsia="仿宋_GB2312"/>
                <w:sz w:val="21"/>
                <w:color w:val="333333"/>
              </w:rPr>
              <w:t>成分含量大于</w:t>
            </w:r>
            <w:r>
              <w:rPr>
                <w:rFonts w:ascii="仿宋_GB2312" w:hAnsi="仿宋_GB2312" w:cs="仿宋_GB2312" w:eastAsia="仿宋_GB2312"/>
                <w:sz w:val="21"/>
                <w:color w:val="333333"/>
              </w:rPr>
              <w:t>0.0016%。</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不得超过7日历天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经过有效性和符合性审核合格的投标人，其商务应答完全响应招标文件商务要求的计5分。优于招标文件要求的每项另计1分，最多加3分。不完全响应的计0分。（招标文件商务要求为最低要求，不得负偏离）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实施方案合理可行、车辆运输保障措施合理、供货进度保证措施合理、运输方案合理、产品到供货发放及特殊情况下的保管合理等。方案详细明确且内容完整，针对性强的得14-22分，方案较为详细内容较为完整明确得7-14分（含14分），方案一般详细内容不完整得1-7分（含7分），未提供者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生产企业有良好的经营管理制度和质量保证体系，有良好的原辅料采购体系和安全的化肥制作工艺流程，具备检测能力，检测设备齐全，检测手段完整。内容具体、完整、详细、全面的经比较得8-12分（含12分），内容欠缺、薄弱的经比较得4-8分（含8分），工作计划、进度一般合理、进度保障措施不详细、针对性差的得1-4分（含4分），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运输工具、人员素质、管理水平等方面进行比较。内容详细、全面的经比较得5-7分（含7分），内容欠缺、薄弱的经比较得3-5分（含5分），内容不详细、针对性差的得1-3分（含3分），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售后服务及保证措施</w:t>
            </w:r>
          </w:p>
        </w:tc>
        <w:tc>
          <w:tcPr>
            <w:tcW w:type="dxa" w:w="2492"/>
          </w:tcPr>
          <w:p>
            <w:pPr>
              <w:pStyle w:val="null3"/>
            </w:pPr>
            <w:r>
              <w:rPr>
                <w:rFonts w:ascii="仿宋_GB2312" w:hAnsi="仿宋_GB2312" w:cs="仿宋_GB2312" w:eastAsia="仿宋_GB2312"/>
              </w:rPr>
              <w:t>售后服务及保证措施比较详细具体，比较符合项目实际情况得4-7分（含7分），售后服务及保证措施详细具体，符合项目实际情况1-4分（含4分），未提供者不得分。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能提供所投产品的合法来源渠道证明文件（包括但不限于产品制造商授权、销售协议、代理协议、原厂授权、产品批次质量检验报告等）的，每提供一个计2分，共计4分，未提供者不得分。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