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版本号：GLD2025-1119001Z20251124001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铜川市“十五五”推进农业农村现代化规划编制项目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GLD2025-1119001Z</w:t>
      </w:r>
      <w:r>
        <w:br/>
      </w:r>
      <w:r>
        <w:br/>
      </w:r>
      <w:r>
        <w:br/>
      </w:r>
    </w:p>
    <w:p>
      <w:pPr>
        <w:pStyle w:val="null3"/>
        <w:jc w:val="center"/>
        <w:outlineLvl w:val="2"/>
      </w:pPr>
      <w:r>
        <w:rPr>
          <w:rFonts w:ascii="仿宋_GB2312" w:hAnsi="仿宋_GB2312" w:cs="仿宋_GB2312" w:eastAsia="仿宋_GB2312"/>
          <w:sz w:val="28"/>
          <w:b/>
        </w:rPr>
        <w:t>铜川市农业农村局</w:t>
      </w:r>
    </w:p>
    <w:p>
      <w:pPr>
        <w:pStyle w:val="null3"/>
        <w:jc w:val="center"/>
        <w:outlineLvl w:val="2"/>
      </w:pPr>
      <w:r>
        <w:rPr>
          <w:rFonts w:ascii="仿宋_GB2312" w:hAnsi="仿宋_GB2312" w:cs="仿宋_GB2312" w:eastAsia="仿宋_GB2312"/>
          <w:sz w:val="28"/>
          <w:b/>
        </w:rPr>
        <w:t>陕西广联达招标有限公司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陕西广联达招标有限公司</w:t>
      </w:r>
      <w:r>
        <w:rPr>
          <w:rFonts w:ascii="仿宋_GB2312" w:hAnsi="仿宋_GB2312" w:cs="仿宋_GB2312" w:eastAsia="仿宋_GB2312"/>
        </w:rPr>
        <w:t>（以下简称“代理机构”）受</w:t>
      </w:r>
      <w:r>
        <w:rPr>
          <w:rFonts w:ascii="仿宋_GB2312" w:hAnsi="仿宋_GB2312" w:cs="仿宋_GB2312" w:eastAsia="仿宋_GB2312"/>
        </w:rPr>
        <w:t>铜川市农业农村局</w:t>
      </w:r>
      <w:r>
        <w:rPr>
          <w:rFonts w:ascii="仿宋_GB2312" w:hAnsi="仿宋_GB2312" w:cs="仿宋_GB2312" w:eastAsia="仿宋_GB2312"/>
        </w:rPr>
        <w:t>委托，拟对</w:t>
      </w:r>
      <w:r>
        <w:rPr>
          <w:rFonts w:ascii="仿宋_GB2312" w:hAnsi="仿宋_GB2312" w:cs="仿宋_GB2312" w:eastAsia="仿宋_GB2312"/>
        </w:rPr>
        <w:t>铜川市“十五五”推进农业农村现代化规划编制项目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GLD2025-1119001Z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铜川市“十五五”推进农业农村现代化规划编制项目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铜川市农业农村现代化规划应按照国家相关规划编制内容深度要求进行编制。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采购包1（铜川市“十五五”推进农业农村现代化规划编制项目）：属于专门面向中小企业采购。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2、财务状况：提供2023或2024任一年度经审计的财务审计报告(2025年成立的公司提供成立后 企业的资产负债表和利润表），或提供投标文件递交截止之日前三个月内基本存款 账户开户银行开具的资信证明；</w:t>
      </w:r>
    </w:p>
    <w:p>
      <w:pPr>
        <w:pStyle w:val="null3"/>
      </w:pPr>
      <w:r>
        <w:rPr>
          <w:rFonts w:ascii="仿宋_GB2312" w:hAnsi="仿宋_GB2312" w:cs="仿宋_GB2312" w:eastAsia="仿宋_GB2312"/>
        </w:rPr>
        <w:t>3、税收缴纳证明：提供2024年11月01日至今任意一个月的缴纳税收的证明材料,(依法免税的单位应 提供相关证明材料)；</w:t>
      </w:r>
    </w:p>
    <w:p>
      <w:pPr>
        <w:pStyle w:val="null3"/>
      </w:pPr>
      <w:r>
        <w:rPr>
          <w:rFonts w:ascii="仿宋_GB2312" w:hAnsi="仿宋_GB2312" w:cs="仿宋_GB2312" w:eastAsia="仿宋_GB2312"/>
        </w:rPr>
        <w:t>4、社保缴纳证明：提供2024年11月01日至今任意一个月的依法缴纳社会保障资金的证明材料（依法 不需要缴纳社会保障资金的单位应提供相关证明材料）</w:t>
      </w:r>
    </w:p>
    <w:p>
      <w:pPr>
        <w:pStyle w:val="null3"/>
      </w:pPr>
      <w:r>
        <w:rPr>
          <w:rFonts w:ascii="仿宋_GB2312" w:hAnsi="仿宋_GB2312" w:cs="仿宋_GB2312" w:eastAsia="仿宋_GB2312"/>
        </w:rPr>
        <w:t>5、书面声明：具备履行合同所必需的设备和专业技术能力的书面声明；</w:t>
      </w:r>
    </w:p>
    <w:p>
      <w:pPr>
        <w:pStyle w:val="null3"/>
      </w:pPr>
      <w:r>
        <w:rPr>
          <w:rFonts w:ascii="仿宋_GB2312" w:hAnsi="仿宋_GB2312" w:cs="仿宋_GB2312" w:eastAsia="仿宋_GB2312"/>
        </w:rPr>
        <w:t>6、信用记录：投标人不得为“信用中国”网站（www.creditchina.gov.cn）中列入失信被执行人 或重大税收违法案件当事人名单的供应商，不得为中国政府采购网（www.ccgp.g ov.cn）政府采购严重违法失信行为记录名单中被财政部门禁止参加政府采购活动 的供应商；</w:t>
      </w:r>
    </w:p>
    <w:p>
      <w:pPr>
        <w:pStyle w:val="null3"/>
      </w:pPr>
      <w:r>
        <w:rPr>
          <w:rFonts w:ascii="仿宋_GB2312" w:hAnsi="仿宋_GB2312" w:cs="仿宋_GB2312" w:eastAsia="仿宋_GB2312"/>
        </w:rPr>
        <w:t>7、法定代表人授权书：法定代表人授权书（附法定代表人及被授权人身份证复印件）（如法定代表人直接 投标只须提交法定代表人身份证明并附身份证复印件）；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李荫柱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18992271225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陕西广联达招标有限公司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陕西省西安市未央区西安经济技术开发区明光路 55 号天朗经开中心 25 层2505室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郭辰阳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15399208767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代理服务费收费标准：成交服务费依据《国家发展和改革委员会文件发改价格[2011]534号文件》及《国家计委价格[2002]1980号文件》规定标准收取，(若服务费按承诺收费标准计算不足5000元按5000元计取)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铜川市农业农村局</w:t>
      </w:r>
      <w:r>
        <w:rPr>
          <w:rFonts w:ascii="仿宋_GB2312" w:hAnsi="仿宋_GB2312" w:cs="仿宋_GB2312" w:eastAsia="仿宋_GB2312"/>
        </w:rPr>
        <w:t>和</w:t>
      </w:r>
      <w:r>
        <w:rPr>
          <w:rFonts w:ascii="仿宋_GB2312" w:hAnsi="仿宋_GB2312" w:cs="仿宋_GB2312" w:eastAsia="仿宋_GB2312"/>
        </w:rPr>
        <w:t>陕西广联达招标有限公司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陕西广联达招标有限公司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陕西广联达招标有限公司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联系人：郭辰阳</w:t>
      </w:r>
    </w:p>
    <w:p>
      <w:pPr>
        <w:pStyle w:val="null3"/>
      </w:pPr>
      <w:r>
        <w:rPr>
          <w:rFonts w:ascii="仿宋_GB2312" w:hAnsi="仿宋_GB2312" w:cs="仿宋_GB2312" w:eastAsia="仿宋_GB2312"/>
        </w:rPr>
        <w:t>联系电话：15399208767</w:t>
      </w:r>
    </w:p>
    <w:p>
      <w:pPr>
        <w:pStyle w:val="null3"/>
      </w:pPr>
      <w:r>
        <w:rPr>
          <w:rFonts w:ascii="仿宋_GB2312" w:hAnsi="仿宋_GB2312" w:cs="仿宋_GB2312" w:eastAsia="仿宋_GB2312"/>
        </w:rPr>
        <w:t>地址：陕西省铜川市耀州区东环路祥瑞小区南门天风自动变速箱3楼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国家及陕西省“十五五”发展要求、区域特点与优势，科学编制铜川市“十五五”农业农村现代化规划。规划主要内容包括规划背景、总体要求、发展布局、农业发展、乡村建设、农村改革、重大工程与项目、保障措施等篇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铜川市“十五五”推进农业农村现代化规划编制项目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标的名称：铜川市“十五五”推进农业农村现代化规划编制项目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b/>
              </w:rPr>
              <w:t>项目名称</w:t>
            </w:r>
          </w:p>
          <w:p>
            <w:pPr>
              <w:pStyle w:val="null3"/>
              <w:ind w:firstLine="560"/>
              <w:jc w:val="both"/>
            </w:pPr>
            <w:r>
              <w:rPr>
                <w:rFonts w:ascii="仿宋_GB2312" w:hAnsi="仿宋_GB2312" w:cs="仿宋_GB2312" w:eastAsia="仿宋_GB2312"/>
                <w:sz w:val="28"/>
              </w:rPr>
              <w:t>铜川市</w:t>
            </w:r>
            <w:r>
              <w:rPr>
                <w:rFonts w:ascii="仿宋_GB2312" w:hAnsi="仿宋_GB2312" w:cs="仿宋_GB2312" w:eastAsia="仿宋_GB2312"/>
                <w:sz w:val="28"/>
              </w:rPr>
              <w:t>“十五五”推进农业农村现代化规划编制采购项目</w:t>
            </w:r>
          </w:p>
          <w:p>
            <w:pPr>
              <w:pStyle w:val="null3"/>
              <w:numPr>
                <w:ilvl w:val="0"/>
                <w:numId w:val="1"/>
              </w:numPr>
              <w:jc w:val="both"/>
            </w:pPr>
            <w:r>
              <w:rPr>
                <w:rFonts w:ascii="仿宋_GB2312" w:hAnsi="仿宋_GB2312" w:cs="仿宋_GB2312" w:eastAsia="仿宋_GB2312"/>
                <w:sz w:val="28"/>
                <w:b/>
              </w:rPr>
              <w:t>规划背景</w:t>
            </w:r>
          </w:p>
          <w:p>
            <w:pPr>
              <w:pStyle w:val="null3"/>
              <w:spacing w:after="120"/>
              <w:ind w:firstLine="560"/>
              <w:jc w:val="both"/>
            </w:pPr>
            <w:r>
              <w:rPr>
                <w:rFonts w:ascii="仿宋_GB2312" w:hAnsi="仿宋_GB2312" w:cs="仿宋_GB2312" w:eastAsia="仿宋_GB2312"/>
                <w:sz w:val="28"/>
              </w:rPr>
              <w:t>全面推进乡村振兴，加快农业农村现代化，是全面建设社会主义现代化国家的重大任务，是解决发展不平衡不充分问题的重要举措，是推动农业农村高质量发展的必然选择。</w:t>
            </w:r>
            <w:r>
              <w:rPr>
                <w:rFonts w:ascii="仿宋_GB2312" w:hAnsi="仿宋_GB2312" w:cs="仿宋_GB2312" w:eastAsia="仿宋_GB2312"/>
                <w:sz w:val="28"/>
              </w:rPr>
              <w:t>"十五五"时期是我国乘势而上开启全面建设社会主义现代化国家新征程、向第二个百年奋斗目标进军的关键五年，是2035年基本实现社会主义现代化的重要奠基期。为举全市之力推动乡村振兴和农业农村现代化，促进农业高质高效、乡村宜居宜业、农民富裕富足，根据市委、市政府关于铜川市农业农村经济社会发展的总体部署和要求，编制《铜川市</w:t>
            </w:r>
            <w:r>
              <w:rPr>
                <w:rFonts w:ascii="仿宋_GB2312" w:hAnsi="仿宋_GB2312" w:cs="仿宋_GB2312" w:eastAsia="仿宋_GB2312"/>
                <w:sz w:val="28"/>
              </w:rPr>
              <w:t>“</w:t>
            </w:r>
            <w:r>
              <w:rPr>
                <w:rFonts w:ascii="仿宋_GB2312" w:hAnsi="仿宋_GB2312" w:cs="仿宋_GB2312" w:eastAsia="仿宋_GB2312"/>
                <w:sz w:val="28"/>
              </w:rPr>
              <w:t>十五五</w:t>
            </w:r>
            <w:r>
              <w:rPr>
                <w:rFonts w:ascii="仿宋_GB2312" w:hAnsi="仿宋_GB2312" w:cs="仿宋_GB2312" w:eastAsia="仿宋_GB2312"/>
                <w:sz w:val="28"/>
              </w:rPr>
              <w:t>”</w:t>
            </w:r>
            <w:r>
              <w:rPr>
                <w:rFonts w:ascii="仿宋_GB2312" w:hAnsi="仿宋_GB2312" w:cs="仿宋_GB2312" w:eastAsia="仿宋_GB2312"/>
                <w:sz w:val="28"/>
              </w:rPr>
              <w:t>农业农村现代化规划》。</w:t>
            </w:r>
          </w:p>
          <w:p>
            <w:pPr>
              <w:pStyle w:val="null3"/>
              <w:numPr>
                <w:ilvl w:val="0"/>
                <w:numId w:val="2"/>
              </w:numPr>
              <w:jc w:val="both"/>
            </w:pPr>
            <w:r>
              <w:rPr>
                <w:rFonts w:ascii="仿宋_GB2312" w:hAnsi="仿宋_GB2312" w:cs="仿宋_GB2312" w:eastAsia="仿宋_GB2312"/>
                <w:sz w:val="28"/>
                <w:b/>
              </w:rPr>
              <w:t>主要内容</w:t>
            </w:r>
          </w:p>
          <w:p>
            <w:pPr>
              <w:pStyle w:val="null3"/>
              <w:numPr>
                <w:ilvl w:val="1"/>
                <w:numId w:val="2"/>
              </w:numPr>
              <w:jc w:val="both"/>
            </w:pPr>
            <w:r>
              <w:rPr>
                <w:rFonts w:ascii="仿宋_GB2312" w:hAnsi="仿宋_GB2312" w:cs="仿宋_GB2312" w:eastAsia="仿宋_GB2312"/>
                <w:sz w:val="28"/>
                <w:b/>
              </w:rPr>
              <w:t>规划期限</w:t>
            </w:r>
          </w:p>
          <w:p>
            <w:pPr>
              <w:pStyle w:val="null3"/>
              <w:ind w:firstLine="560"/>
              <w:jc w:val="both"/>
            </w:pPr>
            <w:r>
              <w:rPr>
                <w:rFonts w:ascii="仿宋_GB2312" w:hAnsi="仿宋_GB2312" w:cs="仿宋_GB2312" w:eastAsia="仿宋_GB2312"/>
                <w:sz w:val="28"/>
              </w:rPr>
              <w:t>规划期限为</w:t>
            </w:r>
            <w:r>
              <w:rPr>
                <w:rFonts w:ascii="仿宋_GB2312" w:hAnsi="仿宋_GB2312" w:cs="仿宋_GB2312" w:eastAsia="仿宋_GB2312"/>
                <w:sz w:val="28"/>
              </w:rPr>
              <w:t>2026－2030年。</w:t>
            </w:r>
          </w:p>
          <w:p>
            <w:pPr>
              <w:pStyle w:val="null3"/>
              <w:numPr>
                <w:ilvl w:val="1"/>
                <w:numId w:val="3"/>
              </w:numPr>
            </w:pPr>
            <w:r>
              <w:rPr>
                <w:rFonts w:ascii="仿宋_GB2312" w:hAnsi="仿宋_GB2312" w:cs="仿宋_GB2312" w:eastAsia="仿宋_GB2312"/>
                <w:sz w:val="28"/>
                <w:b/>
              </w:rPr>
              <w:t>规划范围</w:t>
            </w:r>
          </w:p>
          <w:p>
            <w:pPr>
              <w:pStyle w:val="null3"/>
              <w:ind w:firstLine="560"/>
              <w:jc w:val="both"/>
            </w:pPr>
            <w:r>
              <w:rPr>
                <w:rFonts w:ascii="仿宋_GB2312" w:hAnsi="仿宋_GB2312" w:cs="仿宋_GB2312" w:eastAsia="仿宋_GB2312"/>
                <w:sz w:val="28"/>
              </w:rPr>
              <w:t>编制范围为铜川市全境。</w:t>
            </w:r>
          </w:p>
          <w:p>
            <w:pPr>
              <w:pStyle w:val="null3"/>
              <w:numPr>
                <w:ilvl w:val="1"/>
                <w:numId w:val="3"/>
              </w:numPr>
            </w:pPr>
            <w:r>
              <w:rPr>
                <w:rFonts w:ascii="仿宋_GB2312" w:hAnsi="仿宋_GB2312" w:cs="仿宋_GB2312" w:eastAsia="仿宋_GB2312"/>
                <w:sz w:val="28"/>
                <w:b/>
              </w:rPr>
              <w:t>工作深度</w:t>
            </w:r>
          </w:p>
          <w:p>
            <w:pPr>
              <w:pStyle w:val="null3"/>
              <w:ind w:firstLine="560"/>
            </w:pPr>
            <w:r>
              <w:rPr>
                <w:rFonts w:ascii="仿宋_GB2312" w:hAnsi="仿宋_GB2312" w:cs="仿宋_GB2312" w:eastAsia="仿宋_GB2312"/>
                <w:sz w:val="28"/>
                <w:color w:val="000000"/>
              </w:rPr>
              <w:t>铜川市农业农村现代化规划</w:t>
            </w:r>
            <w:r>
              <w:rPr>
                <w:rFonts w:ascii="仿宋_GB2312" w:hAnsi="仿宋_GB2312" w:cs="仿宋_GB2312" w:eastAsia="仿宋_GB2312"/>
                <w:sz w:val="28"/>
              </w:rPr>
              <w:t>应按照国家相关规划编制内容深度要求进行编制。</w:t>
            </w:r>
          </w:p>
          <w:p>
            <w:pPr>
              <w:pStyle w:val="null3"/>
              <w:numPr>
                <w:ilvl w:val="1"/>
                <w:numId w:val="3"/>
              </w:numPr>
            </w:pPr>
            <w:r>
              <w:rPr>
                <w:rFonts w:ascii="仿宋_GB2312" w:hAnsi="仿宋_GB2312" w:cs="仿宋_GB2312" w:eastAsia="仿宋_GB2312"/>
                <w:sz w:val="28"/>
                <w:b/>
              </w:rPr>
              <w:t>规划依据与参考</w:t>
            </w:r>
          </w:p>
          <w:p>
            <w:pPr>
              <w:pStyle w:val="null3"/>
              <w:ind w:firstLine="560"/>
            </w:pPr>
            <w:r>
              <w:rPr>
                <w:rFonts w:ascii="仿宋_GB2312" w:hAnsi="仿宋_GB2312" w:cs="仿宋_GB2312" w:eastAsia="仿宋_GB2312"/>
                <w:sz w:val="28"/>
                <w:color w:val="000000"/>
              </w:rPr>
              <w:t>《中共中央关于制定国民经济和社会发展第十五个五年规划的建议》（</w:t>
            </w:r>
            <w:r>
              <w:rPr>
                <w:rFonts w:ascii="仿宋_GB2312" w:hAnsi="仿宋_GB2312" w:cs="仿宋_GB2312" w:eastAsia="仿宋_GB2312"/>
                <w:sz w:val="28"/>
                <w:color w:val="000000"/>
              </w:rPr>
              <w:t>2025.10.23）</w:t>
            </w:r>
          </w:p>
          <w:p>
            <w:pPr>
              <w:pStyle w:val="null3"/>
              <w:ind w:firstLine="560"/>
            </w:pPr>
            <w:r>
              <w:rPr>
                <w:rFonts w:ascii="仿宋_GB2312" w:hAnsi="仿宋_GB2312" w:cs="仿宋_GB2312" w:eastAsia="仿宋_GB2312"/>
                <w:sz w:val="28"/>
                <w:color w:val="000000"/>
              </w:rPr>
              <w:t>《中共中央</w:t>
            </w:r>
            <w:r>
              <w:rPr>
                <w:rFonts w:ascii="仿宋_GB2312" w:hAnsi="仿宋_GB2312" w:cs="仿宋_GB2312" w:eastAsia="仿宋_GB2312"/>
                <w:sz w:val="28"/>
                <w:color w:val="000000"/>
              </w:rPr>
              <w:t>国务院关于进一步深化农村改革</w:t>
            </w:r>
            <w:r>
              <w:rPr>
                <w:rFonts w:ascii="仿宋_GB2312" w:hAnsi="仿宋_GB2312" w:cs="仿宋_GB2312" w:eastAsia="仿宋_GB2312"/>
                <w:sz w:val="28"/>
                <w:color w:val="000000"/>
              </w:rPr>
              <w:t>扎实推进乡村全面振兴的意见》（</w:t>
            </w:r>
            <w:r>
              <w:rPr>
                <w:rFonts w:ascii="仿宋_GB2312" w:hAnsi="仿宋_GB2312" w:cs="仿宋_GB2312" w:eastAsia="仿宋_GB2312"/>
                <w:sz w:val="28"/>
                <w:color w:val="000000"/>
              </w:rPr>
              <w:t>2025.01.01）</w:t>
            </w:r>
          </w:p>
          <w:p>
            <w:pPr>
              <w:pStyle w:val="null3"/>
              <w:ind w:firstLine="560"/>
            </w:pPr>
            <w:r>
              <w:rPr>
                <w:rFonts w:ascii="仿宋_GB2312" w:hAnsi="仿宋_GB2312" w:cs="仿宋_GB2312" w:eastAsia="仿宋_GB2312"/>
                <w:sz w:val="28"/>
                <w:color w:val="000000"/>
              </w:rPr>
              <w:t>《加快建设农业强国规划（</w:t>
            </w:r>
            <w:r>
              <w:rPr>
                <w:rFonts w:ascii="仿宋_GB2312" w:hAnsi="仿宋_GB2312" w:cs="仿宋_GB2312" w:eastAsia="仿宋_GB2312"/>
                <w:sz w:val="28"/>
                <w:color w:val="000000"/>
              </w:rPr>
              <w:t>2024－2035年）》</w:t>
            </w:r>
          </w:p>
          <w:p>
            <w:pPr>
              <w:pStyle w:val="null3"/>
              <w:ind w:firstLine="560"/>
            </w:pPr>
            <w:r>
              <w:rPr>
                <w:rFonts w:ascii="仿宋_GB2312" w:hAnsi="仿宋_GB2312" w:cs="仿宋_GB2312" w:eastAsia="仿宋_GB2312"/>
                <w:sz w:val="28"/>
                <w:color w:val="000000"/>
              </w:rPr>
              <w:t>其他相关规划编制成果及已有规划审批资料</w:t>
            </w:r>
          </w:p>
          <w:p>
            <w:pPr>
              <w:pStyle w:val="null3"/>
              <w:ind w:firstLine="560"/>
            </w:pPr>
            <w:r>
              <w:rPr>
                <w:rFonts w:ascii="仿宋_GB2312" w:hAnsi="仿宋_GB2312" w:cs="仿宋_GB2312" w:eastAsia="仿宋_GB2312"/>
                <w:sz w:val="28"/>
                <w:color w:val="000000"/>
              </w:rPr>
              <w:t>凡本要求未做具体规定的，应按国家现行的有关法规、规范执行。</w:t>
            </w:r>
          </w:p>
          <w:p>
            <w:pPr>
              <w:pStyle w:val="null3"/>
              <w:numPr>
                <w:ilvl w:val="1"/>
                <w:numId w:val="3"/>
              </w:numPr>
            </w:pPr>
            <w:r>
              <w:rPr>
                <w:rFonts w:ascii="仿宋_GB2312" w:hAnsi="仿宋_GB2312" w:cs="仿宋_GB2312" w:eastAsia="仿宋_GB2312"/>
                <w:sz w:val="28"/>
                <w:b/>
              </w:rPr>
              <w:t>工作内容</w:t>
            </w:r>
          </w:p>
          <w:p>
            <w:pPr>
              <w:pStyle w:val="null3"/>
              <w:ind w:firstLine="560"/>
              <w:jc w:val="both"/>
            </w:pPr>
            <w:r>
              <w:rPr>
                <w:rFonts w:ascii="仿宋_GB2312" w:hAnsi="仿宋_GB2312" w:cs="仿宋_GB2312" w:eastAsia="仿宋_GB2312"/>
                <w:sz w:val="28"/>
              </w:rPr>
              <w:t>铜川市</w:t>
            </w:r>
            <w:r>
              <w:rPr>
                <w:rFonts w:ascii="仿宋_GB2312" w:hAnsi="仿宋_GB2312" w:cs="仿宋_GB2312" w:eastAsia="仿宋_GB2312"/>
                <w:sz w:val="28"/>
              </w:rPr>
              <w:t>“十五五”农业农村现代化规划</w:t>
            </w:r>
          </w:p>
          <w:p>
            <w:pPr>
              <w:pStyle w:val="null3"/>
              <w:numPr>
                <w:ilvl w:val="2"/>
                <w:numId w:val="4"/>
              </w:numPr>
            </w:pPr>
            <w:r>
              <w:rPr>
                <w:rFonts w:ascii="仿宋_GB2312" w:hAnsi="仿宋_GB2312" w:cs="仿宋_GB2312" w:eastAsia="仿宋_GB2312"/>
                <w:sz w:val="28"/>
              </w:rPr>
              <w:t>总结</w:t>
            </w:r>
            <w:r>
              <w:rPr>
                <w:rFonts w:ascii="仿宋_GB2312" w:hAnsi="仿宋_GB2312" w:cs="仿宋_GB2312" w:eastAsia="仿宋_GB2312"/>
                <w:sz w:val="28"/>
              </w:rPr>
              <w:t>“十四五”的发展成效，明确存在的问题及原因，研判农业农村现代化发展形式。</w:t>
            </w:r>
          </w:p>
          <w:p>
            <w:pPr>
              <w:pStyle w:val="null3"/>
              <w:numPr>
                <w:ilvl w:val="2"/>
                <w:numId w:val="4"/>
              </w:numPr>
              <w:jc w:val="both"/>
            </w:pPr>
            <w:r>
              <w:rPr>
                <w:rFonts w:ascii="仿宋_GB2312" w:hAnsi="仿宋_GB2312" w:cs="仿宋_GB2312" w:eastAsia="仿宋_GB2312"/>
                <w:sz w:val="28"/>
              </w:rPr>
              <w:t>确立</w:t>
            </w:r>
            <w:r>
              <w:rPr>
                <w:rFonts w:ascii="仿宋_GB2312" w:hAnsi="仿宋_GB2312" w:cs="仿宋_GB2312" w:eastAsia="仿宋_GB2312"/>
                <w:sz w:val="28"/>
              </w:rPr>
              <w:t>“十五五”农业农村现代化的总体要求、定位和发展目标。</w:t>
            </w:r>
          </w:p>
          <w:p>
            <w:pPr>
              <w:pStyle w:val="null3"/>
              <w:numPr>
                <w:ilvl w:val="2"/>
                <w:numId w:val="4"/>
              </w:numPr>
              <w:jc w:val="both"/>
            </w:pPr>
            <w:r>
              <w:rPr>
                <w:rFonts w:ascii="仿宋_GB2312" w:hAnsi="仿宋_GB2312" w:cs="仿宋_GB2312" w:eastAsia="仿宋_GB2312"/>
                <w:sz w:val="28"/>
              </w:rPr>
              <w:t>构建现代化产业体系和生产体系。</w:t>
            </w:r>
          </w:p>
          <w:p>
            <w:pPr>
              <w:pStyle w:val="null3"/>
              <w:numPr>
                <w:ilvl w:val="2"/>
                <w:numId w:val="4"/>
              </w:numPr>
              <w:jc w:val="both"/>
            </w:pPr>
            <w:r>
              <w:rPr>
                <w:rFonts w:ascii="仿宋_GB2312" w:hAnsi="仿宋_GB2312" w:cs="仿宋_GB2312" w:eastAsia="仿宋_GB2312"/>
                <w:sz w:val="28"/>
              </w:rPr>
              <w:t>构建现代化经营体系，深化农产品品牌赋能。</w:t>
            </w:r>
          </w:p>
          <w:p>
            <w:pPr>
              <w:pStyle w:val="null3"/>
              <w:numPr>
                <w:ilvl w:val="2"/>
                <w:numId w:val="4"/>
              </w:numPr>
              <w:jc w:val="both"/>
            </w:pPr>
            <w:r>
              <w:rPr>
                <w:rFonts w:ascii="仿宋_GB2312" w:hAnsi="仿宋_GB2312" w:cs="仿宋_GB2312" w:eastAsia="仿宋_GB2312"/>
                <w:sz w:val="28"/>
              </w:rPr>
              <w:t>推进乡村建设和治理效能提升，厘清乡村治理发展路径。</w:t>
            </w:r>
          </w:p>
          <w:p>
            <w:pPr>
              <w:pStyle w:val="null3"/>
              <w:numPr>
                <w:ilvl w:val="2"/>
                <w:numId w:val="4"/>
              </w:numPr>
              <w:jc w:val="both"/>
            </w:pPr>
            <w:r>
              <w:rPr>
                <w:rFonts w:ascii="仿宋_GB2312" w:hAnsi="仿宋_GB2312" w:cs="仿宋_GB2312" w:eastAsia="仿宋_GB2312"/>
                <w:sz w:val="28"/>
              </w:rPr>
              <w:t>深化农村改革，强化城乡协同发展，持续拓展脱贫攻坚成果。</w:t>
            </w:r>
          </w:p>
          <w:p>
            <w:pPr>
              <w:pStyle w:val="null3"/>
              <w:numPr>
                <w:ilvl w:val="2"/>
                <w:numId w:val="4"/>
              </w:numPr>
              <w:jc w:val="both"/>
            </w:pPr>
            <w:r>
              <w:rPr>
                <w:rFonts w:ascii="仿宋_GB2312" w:hAnsi="仿宋_GB2312" w:cs="仿宋_GB2312" w:eastAsia="仿宋_GB2312"/>
                <w:sz w:val="28"/>
              </w:rPr>
              <w:t>明确规划保障措施及要求。</w:t>
            </w:r>
          </w:p>
          <w:p>
            <w:pPr>
              <w:pStyle w:val="null3"/>
              <w:numPr>
                <w:ilvl w:val="0"/>
                <w:numId w:val="4"/>
              </w:numPr>
              <w:jc w:val="both"/>
            </w:pPr>
            <w:r>
              <w:rPr>
                <w:rFonts w:ascii="仿宋_GB2312" w:hAnsi="仿宋_GB2312" w:cs="仿宋_GB2312" w:eastAsia="仿宋_GB2312"/>
                <w:sz w:val="28"/>
                <w:b/>
              </w:rPr>
              <w:t>工作要求</w:t>
            </w:r>
          </w:p>
          <w:p>
            <w:pPr>
              <w:pStyle w:val="null3"/>
              <w:numPr>
                <w:ilvl w:val="2"/>
                <w:numId w:val="4"/>
              </w:numPr>
              <w:jc w:val="both"/>
            </w:pPr>
            <w:r>
              <w:rPr>
                <w:rFonts w:ascii="仿宋_GB2312" w:hAnsi="仿宋_GB2312" w:cs="仿宋_GB2312" w:eastAsia="仿宋_GB2312"/>
                <w:sz w:val="28"/>
              </w:rPr>
              <w:t>现状调查要到位</w:t>
            </w:r>
          </w:p>
          <w:p>
            <w:pPr>
              <w:pStyle w:val="null3"/>
              <w:ind w:firstLine="560"/>
              <w:jc w:val="both"/>
            </w:pPr>
            <w:r>
              <w:rPr>
                <w:rFonts w:ascii="仿宋_GB2312" w:hAnsi="仿宋_GB2312" w:cs="仿宋_GB2312" w:eastAsia="仿宋_GB2312"/>
                <w:sz w:val="28"/>
              </w:rPr>
              <w:t>注重规划范围现状资料的收集，包含农业农村现代化的基本情况和</w:t>
            </w:r>
            <w:r>
              <w:rPr>
                <w:rFonts w:ascii="仿宋_GB2312" w:hAnsi="仿宋_GB2312" w:cs="仿宋_GB2312" w:eastAsia="仿宋_GB2312"/>
                <w:sz w:val="28"/>
              </w:rPr>
              <w:t>“十四五”期间的发展基础。</w:t>
            </w:r>
          </w:p>
          <w:p>
            <w:pPr>
              <w:pStyle w:val="null3"/>
              <w:numPr>
                <w:ilvl w:val="2"/>
                <w:numId w:val="5"/>
              </w:numPr>
            </w:pPr>
            <w:r>
              <w:rPr>
                <w:rFonts w:ascii="仿宋_GB2312" w:hAnsi="仿宋_GB2312" w:cs="仿宋_GB2312" w:eastAsia="仿宋_GB2312"/>
                <w:sz w:val="28"/>
              </w:rPr>
              <w:t>注重已有规划梳理</w:t>
            </w:r>
          </w:p>
          <w:p>
            <w:pPr>
              <w:pStyle w:val="null3"/>
              <w:ind w:firstLine="560"/>
              <w:jc w:val="both"/>
            </w:pPr>
            <w:r>
              <w:rPr>
                <w:rFonts w:ascii="仿宋_GB2312" w:hAnsi="仿宋_GB2312" w:cs="仿宋_GB2312" w:eastAsia="仿宋_GB2312"/>
                <w:sz w:val="28"/>
              </w:rPr>
              <w:t>根据提供的涉及所在地区的所有规划成果，进行认真分析梳理，注重规划的继承和合理利用。</w:t>
            </w:r>
          </w:p>
          <w:p>
            <w:pPr>
              <w:pStyle w:val="null3"/>
              <w:numPr>
                <w:ilvl w:val="2"/>
                <w:numId w:val="5"/>
              </w:numPr>
            </w:pPr>
            <w:r>
              <w:rPr>
                <w:rFonts w:ascii="仿宋_GB2312" w:hAnsi="仿宋_GB2312" w:cs="仿宋_GB2312" w:eastAsia="仿宋_GB2312"/>
                <w:sz w:val="28"/>
              </w:rPr>
              <w:t>强化发展条件分析</w:t>
            </w:r>
          </w:p>
          <w:p>
            <w:pPr>
              <w:pStyle w:val="null3"/>
              <w:ind w:firstLine="560"/>
              <w:jc w:val="both"/>
            </w:pPr>
            <w:r>
              <w:rPr>
                <w:rFonts w:ascii="仿宋_GB2312" w:hAnsi="仿宋_GB2312" w:cs="仿宋_GB2312" w:eastAsia="仿宋_GB2312"/>
                <w:sz w:val="28"/>
              </w:rPr>
              <w:t>认真学习铜川市总体规划和控制性详细规划，分析地区的有利发展条件、关键要素和核心价值以及制约条件。</w:t>
            </w:r>
          </w:p>
          <w:p>
            <w:pPr>
              <w:pStyle w:val="null3"/>
              <w:numPr>
                <w:ilvl w:val="2"/>
                <w:numId w:val="5"/>
              </w:numPr>
            </w:pPr>
            <w:r>
              <w:rPr>
                <w:rFonts w:ascii="仿宋_GB2312" w:hAnsi="仿宋_GB2312" w:cs="仿宋_GB2312" w:eastAsia="仿宋_GB2312"/>
                <w:sz w:val="28"/>
              </w:rPr>
              <w:t>要广泛征求铜川市农业农村局及相关部门的意见。要认真落实采购方提出的意见。</w:t>
            </w:r>
          </w:p>
          <w:p>
            <w:pPr>
              <w:pStyle w:val="null3"/>
              <w:numPr>
                <w:ilvl w:val="2"/>
                <w:numId w:val="5"/>
              </w:numPr>
              <w:jc w:val="both"/>
            </w:pPr>
            <w:r>
              <w:rPr>
                <w:rFonts w:ascii="仿宋_GB2312" w:hAnsi="仿宋_GB2312" w:cs="仿宋_GB2312" w:eastAsia="仿宋_GB2312"/>
                <w:sz w:val="28"/>
              </w:rPr>
              <w:t>项目负责人应参与编制过程中的重要讨论会、座谈会，并在成果汇报时到场汇报。</w:t>
            </w:r>
          </w:p>
          <w:p>
            <w:pPr>
              <w:pStyle w:val="null3"/>
              <w:numPr>
                <w:ilvl w:val="2"/>
                <w:numId w:val="5"/>
              </w:numPr>
              <w:jc w:val="both"/>
            </w:pPr>
            <w:r>
              <w:rPr>
                <w:rFonts w:ascii="仿宋_GB2312" w:hAnsi="仿宋_GB2312" w:cs="仿宋_GB2312" w:eastAsia="仿宋_GB2312"/>
                <w:sz w:val="28"/>
              </w:rPr>
              <w:t>成果要求</w:t>
            </w:r>
          </w:p>
          <w:p>
            <w:pPr>
              <w:pStyle w:val="null3"/>
              <w:ind w:left="315" w:firstLine="560"/>
              <w:jc w:val="both"/>
            </w:pPr>
            <w:r>
              <w:rPr>
                <w:rFonts w:ascii="仿宋_GB2312" w:hAnsi="仿宋_GB2312" w:cs="仿宋_GB2312" w:eastAsia="仿宋_GB2312"/>
                <w:sz w:val="28"/>
              </w:rPr>
              <w:t>《铜川市</w:t>
            </w:r>
            <w:r>
              <w:rPr>
                <w:rFonts w:ascii="仿宋_GB2312" w:hAnsi="仿宋_GB2312" w:cs="仿宋_GB2312" w:eastAsia="仿宋_GB2312"/>
                <w:sz w:val="28"/>
              </w:rPr>
              <w:t>“十五五”农业农村现代化规划（2026-2030年）》</w:t>
            </w:r>
          </w:p>
          <w:p>
            <w:pPr>
              <w:pStyle w:val="null3"/>
            </w:pPr>
            <w:r>
              <w:rPr>
                <w:rFonts w:ascii="仿宋_GB2312" w:hAnsi="仿宋_GB2312" w:cs="仿宋_GB2312" w:eastAsia="仿宋_GB2312"/>
              </w:rPr>
              <w:t xml:space="preserve"> </w:t>
            </w:r>
          </w:p>
          <w:p>
            <w:pPr>
              <w:pStyle w:val="null3"/>
              <w:numPr>
                <w:ilvl w:val="0"/>
                <w:numId w:val="4"/>
              </w:numPr>
              <w:jc w:val="both"/>
            </w:pPr>
            <w:r>
              <w:rPr>
                <w:rFonts w:ascii="仿宋_GB2312" w:hAnsi="仿宋_GB2312" w:cs="仿宋_GB2312" w:eastAsia="仿宋_GB2312"/>
                <w:sz w:val="28"/>
                <w:b/>
              </w:rPr>
              <w:t>商务要求</w:t>
            </w:r>
          </w:p>
          <w:p>
            <w:pPr>
              <w:pStyle w:val="null3"/>
              <w:numPr>
                <w:ilvl w:val="0"/>
                <w:numId w:val="4"/>
              </w:numPr>
              <w:jc w:val="both"/>
            </w:pPr>
            <w:r>
              <w:rPr>
                <w:rFonts w:ascii="仿宋_GB2312" w:hAnsi="仿宋_GB2312" w:cs="仿宋_GB2312" w:eastAsia="仿宋_GB2312"/>
                <w:sz w:val="28"/>
                <w:b/>
              </w:rPr>
              <w:t>实施期限及地点</w:t>
            </w:r>
          </w:p>
          <w:p>
            <w:pPr>
              <w:pStyle w:val="null3"/>
              <w:numPr>
                <w:ilvl w:val="0"/>
                <w:numId w:val="5"/>
              </w:numPr>
              <w:jc w:val="both"/>
            </w:pPr>
            <w:r>
              <w:rPr>
                <w:rFonts w:ascii="仿宋_GB2312" w:hAnsi="仿宋_GB2312" w:cs="仿宋_GB2312" w:eastAsia="仿宋_GB2312"/>
                <w:sz w:val="28"/>
              </w:rPr>
              <w:t>实施期限：自合同签订之日后</w:t>
            </w:r>
            <w:r>
              <w:rPr>
                <w:rFonts w:ascii="仿宋_GB2312" w:hAnsi="仿宋_GB2312" w:cs="仿宋_GB2312" w:eastAsia="仿宋_GB2312"/>
                <w:sz w:val="28"/>
              </w:rPr>
              <w:t>1年</w:t>
            </w:r>
          </w:p>
          <w:p>
            <w:pPr>
              <w:pStyle w:val="null3"/>
              <w:numPr>
                <w:ilvl w:val="0"/>
                <w:numId w:val="5"/>
              </w:numPr>
              <w:jc w:val="both"/>
            </w:pPr>
            <w:r>
              <w:rPr>
                <w:rFonts w:ascii="仿宋_GB2312" w:hAnsi="仿宋_GB2312" w:cs="仿宋_GB2312" w:eastAsia="仿宋_GB2312"/>
                <w:sz w:val="28"/>
              </w:rPr>
              <w:t>服务地点</w:t>
            </w:r>
            <w:r>
              <w:rPr>
                <w:rFonts w:ascii="仿宋_GB2312" w:hAnsi="仿宋_GB2312" w:cs="仿宋_GB2312" w:eastAsia="仿宋_GB2312"/>
                <w:sz w:val="28"/>
              </w:rPr>
              <w:t>：采购人指定地点</w:t>
            </w:r>
          </w:p>
          <w:p>
            <w:pPr>
              <w:pStyle w:val="null3"/>
              <w:numPr>
                <w:ilvl w:val="0"/>
                <w:numId w:val="4"/>
              </w:numPr>
              <w:jc w:val="both"/>
            </w:pPr>
            <w:r>
              <w:rPr>
                <w:rFonts w:ascii="仿宋_GB2312" w:hAnsi="仿宋_GB2312" w:cs="仿宋_GB2312" w:eastAsia="仿宋_GB2312"/>
                <w:sz w:val="28"/>
                <w:b/>
              </w:rPr>
              <w:t>合同价款</w:t>
            </w:r>
          </w:p>
          <w:p>
            <w:pPr>
              <w:pStyle w:val="null3"/>
              <w:ind w:firstLine="560"/>
              <w:jc w:val="both"/>
            </w:pPr>
            <w:r>
              <w:rPr>
                <w:rFonts w:ascii="仿宋_GB2312" w:hAnsi="仿宋_GB2312" w:cs="仿宋_GB2312" w:eastAsia="仿宋_GB2312"/>
                <w:sz w:val="28"/>
              </w:rPr>
              <w:t>从项目实施至验收合格等所有其他有关各项的含税费用。</w:t>
            </w:r>
          </w:p>
          <w:p>
            <w:pPr>
              <w:pStyle w:val="null3"/>
              <w:numPr>
                <w:ilvl w:val="0"/>
                <w:numId w:val="4"/>
              </w:numPr>
              <w:jc w:val="both"/>
            </w:pPr>
            <w:r>
              <w:rPr>
                <w:rFonts w:ascii="仿宋_GB2312" w:hAnsi="仿宋_GB2312" w:cs="仿宋_GB2312" w:eastAsia="仿宋_GB2312"/>
                <w:sz w:val="28"/>
                <w:b/>
              </w:rPr>
              <w:t>付款方式</w:t>
            </w:r>
          </w:p>
          <w:p>
            <w:pPr>
              <w:pStyle w:val="null3"/>
              <w:ind w:left="165" w:firstLine="560"/>
              <w:jc w:val="both"/>
            </w:pPr>
            <w:r>
              <w:rPr>
                <w:rFonts w:ascii="仿宋_GB2312" w:hAnsi="仿宋_GB2312" w:cs="仿宋_GB2312" w:eastAsia="仿宋_GB2312"/>
                <w:sz w:val="28"/>
                <w:color w:val="333333"/>
              </w:rPr>
              <w:t>合同签订后</w:t>
            </w:r>
            <w:r>
              <w:rPr>
                <w:rFonts w:ascii="仿宋_GB2312" w:hAnsi="仿宋_GB2312" w:cs="仿宋_GB2312" w:eastAsia="仿宋_GB2312"/>
                <w:sz w:val="28"/>
                <w:color w:val="333333"/>
              </w:rPr>
              <w:t xml:space="preserve"> ，达到付款条件起 7 日内，支付合同总金额的 3</w:t>
            </w:r>
            <w:r>
              <w:rPr>
                <w:rFonts w:ascii="仿宋_GB2312" w:hAnsi="仿宋_GB2312" w:cs="仿宋_GB2312" w:eastAsia="仿宋_GB2312"/>
                <w:sz w:val="28"/>
                <w:color w:val="333333"/>
              </w:rPr>
              <w:t>5</w:t>
            </w:r>
            <w:r>
              <w:rPr>
                <w:rFonts w:ascii="仿宋_GB2312" w:hAnsi="仿宋_GB2312" w:cs="仿宋_GB2312" w:eastAsia="仿宋_GB2312"/>
                <w:sz w:val="28"/>
                <w:color w:val="333333"/>
              </w:rPr>
              <w:t>.00%。 项目初验合格后 ，达到付款条件起 7 日内，支付合同总金额的 3</w:t>
            </w:r>
            <w:r>
              <w:rPr>
                <w:rFonts w:ascii="仿宋_GB2312" w:hAnsi="仿宋_GB2312" w:cs="仿宋_GB2312" w:eastAsia="仿宋_GB2312"/>
                <w:sz w:val="28"/>
                <w:color w:val="333333"/>
              </w:rPr>
              <w:t>5</w:t>
            </w:r>
            <w:r>
              <w:rPr>
                <w:rFonts w:ascii="仿宋_GB2312" w:hAnsi="仿宋_GB2312" w:cs="仿宋_GB2312" w:eastAsia="仿宋_GB2312"/>
                <w:sz w:val="28"/>
                <w:color w:val="333333"/>
              </w:rPr>
              <w:t xml:space="preserve">.00%。项目全部完成，终验合格后 ，达到付款条件起 7 日内，支付合同总金额的 </w:t>
            </w:r>
            <w:r>
              <w:rPr>
                <w:rFonts w:ascii="仿宋_GB2312" w:hAnsi="仿宋_GB2312" w:cs="仿宋_GB2312" w:eastAsia="仿宋_GB2312"/>
                <w:sz w:val="28"/>
                <w:color w:val="333333"/>
              </w:rPr>
              <w:t>3</w:t>
            </w:r>
            <w:r>
              <w:rPr>
                <w:rFonts w:ascii="仿宋_GB2312" w:hAnsi="仿宋_GB2312" w:cs="仿宋_GB2312" w:eastAsia="仿宋_GB2312"/>
                <w:sz w:val="28"/>
                <w:color w:val="333333"/>
              </w:rPr>
              <w:t>0.00%。</w:t>
            </w:r>
          </w:p>
          <w:p>
            <w:pPr>
              <w:pStyle w:val="null3"/>
              <w:numPr>
                <w:ilvl w:val="0"/>
                <w:numId w:val="4"/>
              </w:numPr>
              <w:jc w:val="both"/>
            </w:pPr>
            <w:r>
              <w:rPr>
                <w:rFonts w:ascii="仿宋_GB2312" w:hAnsi="仿宋_GB2312" w:cs="仿宋_GB2312" w:eastAsia="仿宋_GB2312"/>
                <w:sz w:val="28"/>
                <w:b/>
              </w:rPr>
              <w:t>项目检验与验收</w:t>
            </w:r>
          </w:p>
          <w:p>
            <w:pPr>
              <w:pStyle w:val="null3"/>
              <w:numPr>
                <w:ilvl w:val="0"/>
                <w:numId w:val="5"/>
              </w:numPr>
              <w:jc w:val="both"/>
            </w:pPr>
            <w:r>
              <w:rPr>
                <w:rFonts w:ascii="仿宋_GB2312" w:hAnsi="仿宋_GB2312" w:cs="仿宋_GB2312" w:eastAsia="仿宋_GB2312"/>
                <w:sz w:val="28"/>
              </w:rPr>
              <w:t>通过甲方初审后，进行修改，然后再次送审，至甲方确定无误。</w:t>
            </w:r>
          </w:p>
          <w:p>
            <w:pPr>
              <w:pStyle w:val="null3"/>
              <w:numPr>
                <w:ilvl w:val="0"/>
                <w:numId w:val="5"/>
              </w:numPr>
              <w:jc w:val="both"/>
            </w:pPr>
            <w:r>
              <w:rPr>
                <w:rFonts w:ascii="仿宋_GB2312" w:hAnsi="仿宋_GB2312" w:cs="仿宋_GB2312" w:eastAsia="仿宋_GB2312"/>
                <w:sz w:val="28"/>
              </w:rPr>
              <w:t>成交供应商向采购人提交项目实施过程中的所有资料。</w:t>
            </w:r>
          </w:p>
          <w:p>
            <w:pPr>
              <w:pStyle w:val="null3"/>
              <w:numPr>
                <w:ilvl w:val="0"/>
                <w:numId w:val="5"/>
              </w:numPr>
              <w:jc w:val="both"/>
            </w:pPr>
            <w:r>
              <w:rPr>
                <w:rFonts w:ascii="仿宋_GB2312" w:hAnsi="仿宋_GB2312" w:cs="仿宋_GB2312" w:eastAsia="仿宋_GB2312"/>
                <w:sz w:val="28"/>
              </w:rPr>
              <w:t>验收依据：磋商文件、响应文件、合同文本、国家标准、行业标准及采购人要求。</w:t>
            </w:r>
          </w:p>
          <w:p>
            <w:pPr>
              <w:pStyle w:val="null3"/>
              <w:numPr>
                <w:ilvl w:val="0"/>
                <w:numId w:val="4"/>
              </w:numPr>
              <w:jc w:val="both"/>
            </w:pPr>
            <w:r>
              <w:rPr>
                <w:rFonts w:ascii="仿宋_GB2312" w:hAnsi="仿宋_GB2312" w:cs="仿宋_GB2312" w:eastAsia="仿宋_GB2312"/>
                <w:sz w:val="28"/>
                <w:b/>
              </w:rPr>
              <w:t>保密</w:t>
            </w:r>
          </w:p>
          <w:p>
            <w:pPr>
              <w:pStyle w:val="null3"/>
              <w:ind w:left="165" w:firstLine="560"/>
              <w:jc w:val="both"/>
            </w:pPr>
            <w:r>
              <w:rPr>
                <w:rFonts w:ascii="仿宋_GB2312" w:hAnsi="仿宋_GB2312" w:cs="仿宋_GB2312" w:eastAsia="仿宋_GB2312"/>
                <w:sz w:val="28"/>
              </w:rPr>
              <w:t>本项目的所有中间成果、最终成果以及采购人提供的资料，其所有权均属采购人，未经采购人同意，中标方不得外泄，否则采购人有权追究中标方责任。</w:t>
            </w:r>
          </w:p>
          <w:p>
            <w:pPr>
              <w:pStyle w:val="null3"/>
              <w:numPr>
                <w:ilvl w:val="0"/>
                <w:numId w:val="4"/>
              </w:numPr>
              <w:jc w:val="both"/>
            </w:pPr>
            <w:r>
              <w:rPr>
                <w:rFonts w:ascii="仿宋_GB2312" w:hAnsi="仿宋_GB2312" w:cs="仿宋_GB2312" w:eastAsia="仿宋_GB2312"/>
                <w:sz w:val="28"/>
                <w:b/>
              </w:rPr>
              <w:t>知识产权</w:t>
            </w:r>
          </w:p>
          <w:p>
            <w:pPr>
              <w:pStyle w:val="null3"/>
              <w:ind w:firstLine="560"/>
              <w:jc w:val="both"/>
            </w:pPr>
            <w:r>
              <w:rPr>
                <w:rFonts w:ascii="仿宋_GB2312" w:hAnsi="仿宋_GB2312" w:cs="仿宋_GB2312" w:eastAsia="仿宋_GB2312"/>
                <w:sz w:val="28"/>
              </w:rPr>
              <w:t>所有涉及知识产权及专利权的产品及设计，成交供应商必须确保采购人拥有其合法的、不受限制的无偿使用权，并免受任何侵权诉讼或索偿，否则，由此产生的一切经济损失和法律责任由中标供应商承担。</w:t>
            </w:r>
          </w:p>
          <w:p>
            <w:pPr>
              <w:pStyle w:val="null3"/>
              <w:numPr>
                <w:ilvl w:val="0"/>
                <w:numId w:val="4"/>
              </w:numPr>
              <w:jc w:val="both"/>
            </w:pPr>
            <w:r>
              <w:rPr>
                <w:rFonts w:ascii="仿宋_GB2312" w:hAnsi="仿宋_GB2312" w:cs="仿宋_GB2312" w:eastAsia="仿宋_GB2312"/>
                <w:sz w:val="28"/>
                <w:b/>
              </w:rPr>
              <w:t>成果归属</w:t>
            </w:r>
          </w:p>
          <w:p>
            <w:pPr>
              <w:pStyle w:val="null3"/>
              <w:numPr>
                <w:ilvl w:val="0"/>
                <w:numId w:val="5"/>
              </w:numPr>
              <w:jc w:val="both"/>
            </w:pPr>
            <w:r>
              <w:rPr>
                <w:rFonts w:ascii="仿宋_GB2312" w:hAnsi="仿宋_GB2312" w:cs="仿宋_GB2312" w:eastAsia="仿宋_GB2312"/>
                <w:sz w:val="28"/>
              </w:rPr>
              <w:t>本项目的所有成果著作权等知识产权和所有权益归采购人所有。成交供应商不得引用、发表和向第三者提供。成交供应商必须向采购人无偿提供本项目所有相关的技术文档。</w:t>
            </w:r>
          </w:p>
          <w:p>
            <w:pPr>
              <w:pStyle w:val="null3"/>
              <w:numPr>
                <w:ilvl w:val="0"/>
                <w:numId w:val="5"/>
              </w:numPr>
              <w:jc w:val="both"/>
            </w:pPr>
            <w:r>
              <w:rPr>
                <w:rFonts w:ascii="仿宋_GB2312" w:hAnsi="仿宋_GB2312" w:cs="仿宋_GB2312" w:eastAsia="仿宋_GB2312"/>
                <w:sz w:val="28"/>
              </w:rPr>
              <w:t>采购人引用成交供应商的工作成果所完成的新的编制研究成果，属于采购人所有，采购人可依法享有就该项编制成果的精神权利、经济权利和其他权利。</w:t>
            </w:r>
          </w:p>
          <w:p>
            <w:pPr>
              <w:pStyle w:val="null3"/>
              <w:numPr>
                <w:ilvl w:val="0"/>
                <w:numId w:val="5"/>
              </w:numPr>
              <w:jc w:val="both"/>
            </w:pPr>
            <w:r>
              <w:rPr>
                <w:rFonts w:ascii="仿宋_GB2312" w:hAnsi="仿宋_GB2312" w:cs="仿宋_GB2312" w:eastAsia="仿宋_GB2312"/>
                <w:sz w:val="28"/>
              </w:rPr>
              <w:t>无论发生何种情形</w:t>
            </w:r>
            <w:r>
              <w:rPr>
                <w:rFonts w:ascii="仿宋_GB2312" w:hAnsi="仿宋_GB2312" w:cs="仿宋_GB2312" w:eastAsia="仿宋_GB2312"/>
                <w:sz w:val="28"/>
              </w:rPr>
              <w:t>(包括但不限于合同提前终止或解除)，采购人均有权利用成交供应商的阶段性工作成果，并且采购人引用成交供应商的阶段性工作成果所完成的新的编制成果，属于采购人所有，采购人可依法享有就该项编制成果的精神权力、经济权力和其他权利。</w:t>
            </w:r>
          </w:p>
          <w:p>
            <w:pPr>
              <w:pStyle w:val="null3"/>
              <w:numPr>
                <w:ilvl w:val="0"/>
                <w:numId w:val="4"/>
              </w:numPr>
              <w:jc w:val="both"/>
            </w:pPr>
            <w:r>
              <w:rPr>
                <w:rFonts w:ascii="仿宋_GB2312" w:hAnsi="仿宋_GB2312" w:cs="仿宋_GB2312" w:eastAsia="仿宋_GB2312"/>
                <w:sz w:val="28"/>
                <w:b/>
              </w:rPr>
              <w:t>合同实施</w:t>
            </w:r>
          </w:p>
          <w:p>
            <w:pPr>
              <w:pStyle w:val="null3"/>
              <w:numPr>
                <w:ilvl w:val="0"/>
                <w:numId w:val="5"/>
              </w:numPr>
              <w:jc w:val="both"/>
            </w:pPr>
            <w:r>
              <w:rPr>
                <w:rFonts w:ascii="仿宋_GB2312" w:hAnsi="仿宋_GB2312" w:cs="仿宋_GB2312" w:eastAsia="仿宋_GB2312"/>
                <w:sz w:val="28"/>
              </w:rPr>
              <w:t>中标人应在合同签订后</w:t>
            </w:r>
            <w:r>
              <w:rPr>
                <w:rFonts w:ascii="仿宋_GB2312" w:hAnsi="仿宋_GB2312" w:cs="仿宋_GB2312" w:eastAsia="仿宋_GB2312"/>
                <w:sz w:val="28"/>
              </w:rPr>
              <w:t>3个日历日内安排人员就项目实施工作进行安排、部署。</w:t>
            </w:r>
          </w:p>
          <w:p>
            <w:pPr>
              <w:pStyle w:val="null3"/>
              <w:numPr>
                <w:ilvl w:val="0"/>
                <w:numId w:val="5"/>
              </w:numPr>
              <w:jc w:val="both"/>
            </w:pPr>
            <w:r>
              <w:rPr>
                <w:rFonts w:ascii="仿宋_GB2312" w:hAnsi="仿宋_GB2312" w:cs="仿宋_GB2312" w:eastAsia="仿宋_GB2312"/>
                <w:sz w:val="28"/>
              </w:rPr>
              <w:t>若未能在实施期限内完成合同规定的义务，由此对采购人造成的延误和一切损失，由中标人承担和赔偿。</w:t>
            </w:r>
          </w:p>
          <w:p>
            <w:pPr>
              <w:pStyle w:val="null3"/>
              <w:numPr>
                <w:ilvl w:val="0"/>
                <w:numId w:val="4"/>
              </w:numPr>
              <w:jc w:val="both"/>
            </w:pPr>
            <w:r>
              <w:rPr>
                <w:rFonts w:ascii="仿宋_GB2312" w:hAnsi="仿宋_GB2312" w:cs="仿宋_GB2312" w:eastAsia="仿宋_GB2312"/>
                <w:sz w:val="28"/>
                <w:b/>
              </w:rPr>
              <w:t>违约责任</w:t>
            </w:r>
          </w:p>
          <w:p>
            <w:pPr>
              <w:pStyle w:val="null3"/>
              <w:numPr>
                <w:ilvl w:val="0"/>
                <w:numId w:val="5"/>
              </w:numPr>
              <w:jc w:val="both"/>
            </w:pPr>
            <w:r>
              <w:rPr>
                <w:rFonts w:ascii="仿宋_GB2312" w:hAnsi="仿宋_GB2312" w:cs="仿宋_GB2312" w:eastAsia="仿宋_GB2312"/>
                <w:sz w:val="28"/>
              </w:rPr>
              <w:t>按《中华人民共和国民法典》中的相关条款执行。</w:t>
            </w:r>
          </w:p>
          <w:p>
            <w:pPr>
              <w:pStyle w:val="null3"/>
              <w:numPr>
                <w:ilvl w:val="0"/>
                <w:numId w:val="5"/>
              </w:numPr>
              <w:jc w:val="both"/>
            </w:pPr>
            <w:r>
              <w:rPr>
                <w:rFonts w:ascii="仿宋_GB2312" w:hAnsi="仿宋_GB2312" w:cs="仿宋_GB2312" w:eastAsia="仿宋_GB2312"/>
                <w:sz w:val="28"/>
              </w:rPr>
              <w:t>未按合同要求提供服务或服务质量不能满足技术要求，采购人有权终止合同，并对供方违约行为进行追究，同时按《中华人民共和国政府采购法》的有关规定进行处罚。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符合国家相关规定要求；验收合格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项目初验合格后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项目全部完成，终验合格后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 同 的正常履行。 2、如因乙方工作人员在履行职务过程中的疏忽、失职、过错等故意或者过失原因给甲方造成损失或侵害， 包 括 但不限于甲方本身的财产损失以及由此而导致的甲方对任何第三方的法律责任等，乙方对此均应承担全部的赔偿责任。 二、 解决合同纠纷的方式 1、合同一经签订，不得随意变更、中止或终止。对确需变更、调整或者中止、终止合同的，应按 规定履 行相应的手续。 2、合同执行中发生争议的，甲、乙双方应协商解决，协商达不成一致时，可向甲方所在地人民法院 提请诉讼 。</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通过电子化交易系统协商，供应商需在电子化交易系统上传响应的文件。成交供应商领取中标（成交）通知书时，向招标代理机构提供一正两副纸质响应文件及电子版1份（签字盖章扫描PDF和word文档格式，U盘存储）。 2.供应商应自投标文件递交截止时间起至招标结束，保持在线状态。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投标人须具备的资格文件证明.docx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投标人须具备的资格文件证明.docx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申请人关联关系书面声明.docx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投标人须具备的资格文件证明.docx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 企业的资产负债表和利润表），或提供投标文件递交截止之日前三个月内基本存款 账户开户银行开具的资信证明；</w:t>
            </w:r>
          </w:p>
        </w:tc>
        <w:tc>
          <w:tcPr>
            <w:tcW w:type="dxa" w:w="1661"/>
          </w:tcPr>
          <w:p>
            <w:pPr>
              <w:pStyle w:val="null3"/>
            </w:pPr>
            <w:r>
              <w:rPr>
                <w:rFonts w:ascii="仿宋_GB2312" w:hAnsi="仿宋_GB2312" w:cs="仿宋_GB2312" w:eastAsia="仿宋_GB2312"/>
              </w:rPr>
              <w:t>投标人须具备的资格文件证明.docx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提供2024年11月01日至今任意一个月的缴纳税收的证明材料,(依法免税的单位应 提供相关证明材料)；</w:t>
            </w:r>
          </w:p>
        </w:tc>
        <w:tc>
          <w:tcPr>
            <w:tcW w:type="dxa" w:w="1661"/>
          </w:tcPr>
          <w:p>
            <w:pPr>
              <w:pStyle w:val="null3"/>
            </w:pPr>
            <w:r>
              <w:rPr>
                <w:rFonts w:ascii="仿宋_GB2312" w:hAnsi="仿宋_GB2312" w:cs="仿宋_GB2312" w:eastAsia="仿宋_GB2312"/>
              </w:rPr>
              <w:t>投标人须具备的资格文件证明.docx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提供2024年11月01日至今任意一个月的依法缴纳社会保障资金的证明材料（依法 不需要缴纳社会保障资金的单位应提供相关证明材料）</w:t>
            </w:r>
          </w:p>
        </w:tc>
        <w:tc>
          <w:tcPr>
            <w:tcW w:type="dxa" w:w="1661"/>
          </w:tcPr>
          <w:p>
            <w:pPr>
              <w:pStyle w:val="null3"/>
            </w:pPr>
            <w:r>
              <w:rPr>
                <w:rFonts w:ascii="仿宋_GB2312" w:hAnsi="仿宋_GB2312" w:cs="仿宋_GB2312" w:eastAsia="仿宋_GB2312"/>
              </w:rPr>
              <w:t>投标人须具备的资格文件证明.docx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具备履行合同所必须得设备和专业技术能力承诺书.docx 投标人须具备的资格文件证明.docx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 或重大税收违法案件当事人名单的供应商，不得为中国政府采购网（www.ccgp.g ov.cn）政府采购严重违法失信行为记录名单中被财政部门禁止参加政府采购活动 的供应商；</w:t>
            </w:r>
          </w:p>
        </w:tc>
        <w:tc>
          <w:tcPr>
            <w:tcW w:type="dxa" w:w="1661"/>
          </w:tcPr>
          <w:p>
            <w:pPr>
              <w:pStyle w:val="null3"/>
            </w:pPr>
            <w:r>
              <w:rPr>
                <w:rFonts w:ascii="仿宋_GB2312" w:hAnsi="仿宋_GB2312" w:cs="仿宋_GB2312" w:eastAsia="仿宋_GB2312"/>
              </w:rPr>
              <w:t>投标人须具备的资格文件证明.docx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 投标只须提交法定代表人身份证明并附身份证复印件）；</w:t>
            </w:r>
          </w:p>
        </w:tc>
        <w:tc>
          <w:tcPr>
            <w:tcW w:type="dxa" w:w="1661"/>
          </w:tcPr>
          <w:p>
            <w:pPr>
              <w:pStyle w:val="null3"/>
            </w:pPr>
            <w:r>
              <w:rPr>
                <w:rFonts w:ascii="仿宋_GB2312" w:hAnsi="仿宋_GB2312" w:cs="仿宋_GB2312" w:eastAsia="仿宋_GB2312"/>
              </w:rPr>
              <w:t>投标人须具备的资格文件证明.docx 供应商应提交的相关资格证明材料 法定代表人授权书.docx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服务期限或合同履行期限</w:t>
            </w:r>
          </w:p>
        </w:tc>
        <w:tc>
          <w:tcPr>
            <w:tcW w:type="dxa" w:w="3322"/>
          </w:tcPr>
          <w:p>
            <w:pPr>
              <w:pStyle w:val="null3"/>
            </w:pPr>
            <w:r>
              <w:rPr>
                <w:rFonts w:ascii="仿宋_GB2312" w:hAnsi="仿宋_GB2312" w:cs="仿宋_GB2312" w:eastAsia="仿宋_GB2312"/>
              </w:rPr>
              <w:t>服务期限或合同履行期限是否满足招标文件要 求。</w:t>
            </w:r>
          </w:p>
        </w:tc>
        <w:tc>
          <w:tcPr>
            <w:tcW w:type="dxa" w:w="1661"/>
          </w:tcPr>
          <w:p>
            <w:pPr>
              <w:pStyle w:val="null3"/>
            </w:pPr>
            <w:r>
              <w:rPr>
                <w:rFonts w:ascii="仿宋_GB2312" w:hAnsi="仿宋_GB2312" w:cs="仿宋_GB2312" w:eastAsia="仿宋_GB2312"/>
              </w:rPr>
              <w:t>服务方案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响应文件签字、盖章是否满足招标文件要求</w:t>
            </w:r>
          </w:p>
        </w:tc>
        <w:tc>
          <w:tcPr>
            <w:tcW w:type="dxa" w:w="1661"/>
          </w:tcPr>
          <w:p>
            <w:pPr>
              <w:pStyle w:val="null3"/>
            </w:pPr>
            <w:r>
              <w:rPr>
                <w:rFonts w:ascii="仿宋_GB2312" w:hAnsi="仿宋_GB2312" w:cs="仿宋_GB2312" w:eastAsia="仿宋_GB2312"/>
              </w:rPr>
              <w:t>服务内容及服务邀请应答表 合同主要条款偏离表.docx 中小企业声明函 商务应答表 供应商应提交的相关资格证明材料 报价表 法定代表人授权书.docx 近年业绩的有关证明材料.docx 响应文件封面 分项报价表.docx 具备履行合同所必须得设备和专业技术能力承诺书.docx 投标人须具备的资格文件证明.docx 残疾人福利性单位声明函 服务方案 标的清单 服务技术方案.docx 申请人关联关系书面声明.docx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与招标文件商务要求条款不一致或增加了招标 人难以接受的条款。</w:t>
            </w:r>
          </w:p>
        </w:tc>
        <w:tc>
          <w:tcPr>
            <w:tcW w:type="dxa" w:w="1661"/>
          </w:tcPr>
          <w:p>
            <w:pPr>
              <w:pStyle w:val="null3"/>
            </w:pPr>
            <w:r>
              <w:rPr>
                <w:rFonts w:ascii="仿宋_GB2312" w:hAnsi="仿宋_GB2312" w:cs="仿宋_GB2312" w:eastAsia="仿宋_GB2312"/>
              </w:rPr>
              <w:t>响应文件封面 合同主要条款偏离表.docx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 性要求。</w:t>
            </w:r>
          </w:p>
        </w:tc>
        <w:tc>
          <w:tcPr>
            <w:tcW w:type="dxa" w:w="1661"/>
          </w:tcPr>
          <w:p>
            <w:pPr>
              <w:pStyle w:val="null3"/>
            </w:pPr>
            <w:r>
              <w:rPr>
                <w:rFonts w:ascii="仿宋_GB2312" w:hAnsi="仿宋_GB2312" w:cs="仿宋_GB2312" w:eastAsia="仿宋_GB2312"/>
              </w:rPr>
              <w:t>服务内容及服务邀请应答表 合同主要条款偏离表.docx 中小企业声明函 商务应答表 供应商应提交的相关资格证明材料 报价表 法定代表人授权书.docx 响应文件封面 近年业绩的有关证明材料.docx 分项报价表.docx 具备履行合同所必须得设备和专业技术能力承诺书.docx 投标人须具备的资格文件证明.docx 残疾人福利性单位声明函 服务方案 标的清单 服务技术方案.docx 申请人关联关系书面声明.docx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响应文件格式是否符合招标文件要求</w:t>
            </w:r>
          </w:p>
        </w:tc>
        <w:tc>
          <w:tcPr>
            <w:tcW w:type="dxa" w:w="1661"/>
          </w:tcPr>
          <w:p>
            <w:pPr>
              <w:pStyle w:val="null3"/>
            </w:pPr>
            <w:r>
              <w:rPr>
                <w:rFonts w:ascii="仿宋_GB2312" w:hAnsi="仿宋_GB2312" w:cs="仿宋_GB2312" w:eastAsia="仿宋_GB2312"/>
              </w:rPr>
              <w:t>服务内容及服务邀请应答表 合同主要条款偏离表.docx 中小企业声明函 商务应答表 供应商应提交的相关资格证明材料 报价表 法定代表人授权书.docx 响应文件封面 近年业绩的有关证明材料.docx 分项报价表.docx 具备履行合同所必须得设备和专业技术能力承诺书.docx 投标人须具备的资格文件证明.docx 残疾人福利性单位声明函 服务方案 标的清单 服务技术方案.docx 申请人关联关系书面声明.docx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拟投入 人员</w:t>
            </w:r>
          </w:p>
        </w:tc>
        <w:tc>
          <w:tcPr>
            <w:tcW w:type="dxa" w:w="2492"/>
          </w:tcPr>
          <w:p>
            <w:pPr>
              <w:pStyle w:val="null3"/>
            </w:pPr>
            <w:r>
              <w:rPr>
                <w:rFonts w:ascii="仿宋_GB2312" w:hAnsi="仿宋_GB2312" w:cs="仿宋_GB2312" w:eastAsia="仿宋_GB2312"/>
              </w:rPr>
              <w:t>1.项目负责人 具有农业农村相关研究工作经历，得1分。否则不得分。 2.项目技术负责人 具备农业相关专业高级职称得4分。否则不得分。 3.项目主要服务人员（项目负责人、技术负责人除外） 项目组服务人员长期从事农业发展相关研究且具有副高级职称及以上。 一般：0-5分；良好：5.1-10分；优秀：10.1-15分。 备注：响应文件中提供主管部门颁发的相关证书或相关证明材料复印件并加盖供应商公章，以上持证人员须是供应商在职人员,并提供1年内任意1个月社保证明材料。否则不予计分。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对本项目工作内容理解透彻，重难点分析正确合理，有对应措施。 一般：0-1分；良好：1-3分；优秀：3.1-5分。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总体规划方案：规划内容完整，方法合理。 一般：0-1分；良好：1.1-3分；优秀：3.1-5分。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规划定位明确，特色鲜明，主题规划定位具有唯一性。 一般：0-1分；良好：1.1-3分；优秀：3.1-5分。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规划立足于“十四五”的发展基础，具有延续性和创新型。 一般：0-1分；良好：1.1-3分；优秀：3.1-5分。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规划内容立足于农业农村发展现状，具有可操作性。 一般：0-1分；良好：1.1-3分；优秀：3.1-5分。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服务期计划及保障措施</w:t>
            </w:r>
          </w:p>
        </w:tc>
        <w:tc>
          <w:tcPr>
            <w:tcW w:type="dxa" w:w="2492"/>
          </w:tcPr>
          <w:p>
            <w:pPr>
              <w:pStyle w:val="null3"/>
            </w:pPr>
            <w:r>
              <w:rPr>
                <w:rFonts w:ascii="仿宋_GB2312" w:hAnsi="仿宋_GB2312" w:cs="仿宋_GB2312" w:eastAsia="仿宋_GB2312"/>
              </w:rPr>
              <w:t>有项目实施的详细计划及服务期保障的具体措施，服务期计划安排合理、保障措施完善有效，可操作性强，能完全满足项目进度要求。 一般：0-5分；良好：5.1-10分；优秀：10.1-15分。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项目组织机构及管理措施</w:t>
            </w:r>
          </w:p>
        </w:tc>
        <w:tc>
          <w:tcPr>
            <w:tcW w:type="dxa" w:w="2492"/>
          </w:tcPr>
          <w:p>
            <w:pPr>
              <w:pStyle w:val="null3"/>
            </w:pPr>
            <w:r>
              <w:rPr>
                <w:rFonts w:ascii="仿宋_GB2312" w:hAnsi="仿宋_GB2312" w:cs="仿宋_GB2312" w:eastAsia="仿宋_GB2312"/>
              </w:rPr>
              <w:t>提供针对本项目的组织机构及管理措施。项目组织机构设置科学合理，管理措施有效可操作性强，符合本项目实施特点和要求，能很好地完成工作任务。 一般：0-1分；良好：1.1-3分；优秀：3.1-5分。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有完善的质量管理体系和质量控制措施，能够保证项目成果顺利通过验收。 一般：0-1分；良好：1.1-3分；优秀：3.1-5分。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保密管理</w:t>
            </w:r>
          </w:p>
        </w:tc>
        <w:tc>
          <w:tcPr>
            <w:tcW w:type="dxa" w:w="2492"/>
          </w:tcPr>
          <w:p>
            <w:pPr>
              <w:pStyle w:val="null3"/>
            </w:pPr>
            <w:r>
              <w:rPr>
                <w:rFonts w:ascii="仿宋_GB2312" w:hAnsi="仿宋_GB2312" w:cs="仿宋_GB2312" w:eastAsia="仿宋_GB2312"/>
              </w:rPr>
              <w:t>提供针对本项目的保密管理方案，包括保密制度及保密管理措施。 一般：0-1分；良好：1.1-3分；优秀：3.1-5分。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供应商提供项目团队2022年1月1日至今已承接过的类似项目（以合同复印件或成交通知书为准），每提供一份计2分，最高得10分；未提供得0分。 注：业绩证明资料如有弄虚作假者，取消其投标资格。并依照相关法律法规追究其相应责任。</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 供应商的价格分按照下列公式计算： 投标报价得分=（评标基准价/投标报价）×价 格权值×100% 评审小组认为供应商的报价明显低于其他通过符合性审查供应商的报 价，有可能影响服务质量或者不能诚信履约的，应当要求其在评标现场合理的时间内 提供书面说明，必要时提交相关证明材料；供应商不能证明其报价合理性的，评审小 组应当将其作为无效投标处理。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详见附件：服务技术方案.docx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详见附件：具备履行合同所必须得设备和专业技术能力承诺书.docx</w:t>
      </w:r>
    </w:p>
    <w:p>
      <w:pPr>
        <w:pStyle w:val="null3"/>
        <w:ind w:firstLine="960"/>
      </w:pPr>
      <w:r>
        <w:rPr>
          <w:rFonts w:ascii="仿宋_GB2312" w:hAnsi="仿宋_GB2312" w:cs="仿宋_GB2312" w:eastAsia="仿宋_GB2312"/>
        </w:rPr>
        <w:t>详见附件：申请人关联关系书面声明.docx</w:t>
      </w:r>
    </w:p>
    <w:p>
      <w:pPr>
        <w:pStyle w:val="null3"/>
        <w:ind w:firstLine="960"/>
      </w:pPr>
      <w:r>
        <w:rPr>
          <w:rFonts w:ascii="仿宋_GB2312" w:hAnsi="仿宋_GB2312" w:cs="仿宋_GB2312" w:eastAsia="仿宋_GB2312"/>
        </w:rPr>
        <w:t>详见附件：投标人须具备的资格文件证明.docx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bullet"/>
      <w:lvlText w:val=""/>
      <w:lvlJc w:val="left"/>
      <w:pPr>
        <w:ind w:left="0"/>
      </w:pPr>
      <w:rPr>
        <w:rFonts w:ascii="Wingdings" w:hAnsi="Wingdings" w:hint="default"/>
      </w:rPr>
    </w:lvl>
    <w:lvl w:ilvl="1">
      <w:start w:val="1"/>
      <w:numFmt w:val="decimal"/>
      <w:lvlText w:val="%2."/>
      <w:lvlJc w:val="left"/>
      <w:pPr>
        <w:ind w:left="36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3">
    <w:multiLevelType w:val="hybridMultilevel"/>
    <w:lvl w:ilvl="0">
      <w:start w:val="1"/>
      <w:numFmt w:val="bullet"/>
      <w:lvlText w:val=""/>
      <w:lvlJc w:val="left"/>
      <w:pPr>
        <w:ind w:left="0"/>
      </w:pPr>
      <w:rPr>
        <w:rFonts w:ascii="Wingdings" w:hAnsi="Wingdings" w:hint="default"/>
      </w:rPr>
    </w:lvl>
    <w:lvl w:ilvl="1">
      <w:start w:val="1"/>
      <w:numFmt w:val="decimal"/>
      <w:lvlText w:val="%2."/>
      <w:lvlJc w:val="left"/>
      <w:pPr>
        <w:ind w:left="360"/>
      </w:pPr>
    </w:lvl>
    <w:lvl w:ilvl="2">
      <w:start w:val="1"/>
      <w:numFmt w:val="decimal"/>
      <w:lvlText w:val="%3."/>
      <w:lvlJc w:val="left"/>
      <w:pPr>
        <w:ind w:left="720"/>
      </w:pPr>
    </w:lvl>
  </w:abstractNum>
  <w:abstractNum w:abstractNumId="4">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