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版本号：MSL-DY-2025--012920251121001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信息化整体运维服务采购项目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MSL-DY-2025--0129</w:t>
      </w:r>
      <w:r>
        <w:br/>
      </w:r>
      <w:r>
        <w:br/>
      </w:r>
      <w:r>
        <w:br/>
      </w:r>
    </w:p>
    <w:p>
      <w:pPr>
        <w:pStyle w:val="null3"/>
        <w:jc w:val="center"/>
        <w:outlineLvl w:val="5"/>
      </w:pPr>
      <w:r>
        <w:rPr>
          <w:rFonts w:ascii="仿宋_GB2312" w:hAnsi="仿宋_GB2312" w:cs="仿宋_GB2312" w:eastAsia="仿宋_GB2312"/>
          <w:sz w:val="15"/>
          <w:b/>
        </w:rPr>
        <w:t>铜川市财政局信息技术中心</w:t>
      </w:r>
    </w:p>
    <w:p>
      <w:pPr>
        <w:pStyle w:val="null3"/>
        <w:jc w:val="center"/>
        <w:outlineLvl w:val="5"/>
      </w:pPr>
      <w:r>
        <w:rPr>
          <w:rFonts w:ascii="仿宋_GB2312" w:hAnsi="仿宋_GB2312" w:cs="仿宋_GB2312" w:eastAsia="仿宋_GB2312"/>
          <w:sz w:val="15"/>
          <w:b/>
        </w:rPr>
        <w:t>陕西木升林项目管理有限公司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陕西木升林项目管理有限公司</w:t>
      </w:r>
      <w:r>
        <w:rPr>
          <w:rFonts w:ascii="仿宋_GB2312" w:hAnsi="仿宋_GB2312" w:cs="仿宋_GB2312" w:eastAsia="仿宋_GB2312"/>
        </w:rPr>
        <w:t>（以下简称“代理机构”）受</w:t>
      </w:r>
      <w:r>
        <w:rPr>
          <w:rFonts w:ascii="仿宋_GB2312" w:hAnsi="仿宋_GB2312" w:cs="仿宋_GB2312" w:eastAsia="仿宋_GB2312"/>
        </w:rPr>
        <w:t>铜川市财政局信息技术中心</w:t>
      </w:r>
      <w:r>
        <w:rPr>
          <w:rFonts w:ascii="仿宋_GB2312" w:hAnsi="仿宋_GB2312" w:cs="仿宋_GB2312" w:eastAsia="仿宋_GB2312"/>
        </w:rPr>
        <w:t>委托，拟对</w:t>
      </w:r>
      <w:r>
        <w:rPr>
          <w:rFonts w:ascii="仿宋_GB2312" w:hAnsi="仿宋_GB2312" w:cs="仿宋_GB2312" w:eastAsia="仿宋_GB2312"/>
        </w:rPr>
        <w:t>信息化整体运维服务采购项目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MSL-DY-2025--0129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信息化整体运维服务采购项目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采购包1：A标段：铜川市财政局智能化办公平台等业务系统运维服务，具体详见采购文件。采购包2：B标段：铜川市财政局网络及核心机房运维服务，具体详见采购文件。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采购包1（A标段：铜川市财政局智能化办公平台等业务系统运维服务）：属于专门面向中小企业采购。</w:t>
      </w:r>
    </w:p>
    <w:p>
      <w:pPr>
        <w:pStyle w:val="null3"/>
      </w:pPr>
      <w:r>
        <w:rPr>
          <w:rFonts w:ascii="仿宋_GB2312" w:hAnsi="仿宋_GB2312" w:cs="仿宋_GB2312" w:eastAsia="仿宋_GB2312"/>
        </w:rPr>
        <w:t>采购包2（B标段：铜川市财政局网络及核心机房运维服务）：属于专门面向中小企业采购。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主要负责人）委托授权书\身份证明：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铜川市财政局信息技术中心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铜川市新区金谟东路1号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仇婷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18109196701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陕西木升林项目管理有限公司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陕西省西安市雁塔区西安市曲江新区雁翔路3269号旺座曲江L座29层2901室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王艺涵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029-81208568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采购包2：364,000.00元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采购包2：364,000.00元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供应商在领取成交通知书前，须向采购代理机构一次性支付招标代理服务费。 户名：陕西木升林项目管理有限公司 开户行：中国农业银行股份有限公司西安曲江池北路支行 账号：2614 0701 0400 15145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铜川市财政局信息技术中心</w:t>
      </w:r>
      <w:r>
        <w:rPr>
          <w:rFonts w:ascii="仿宋_GB2312" w:hAnsi="仿宋_GB2312" w:cs="仿宋_GB2312" w:eastAsia="仿宋_GB2312"/>
        </w:rPr>
        <w:t>和</w:t>
      </w:r>
      <w:r>
        <w:rPr>
          <w:rFonts w:ascii="仿宋_GB2312" w:hAnsi="仿宋_GB2312" w:cs="仿宋_GB2312" w:eastAsia="仿宋_GB2312"/>
        </w:rPr>
        <w:t>陕西木升林项目管理有限公司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陕西木升林项目管理有限公司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铜川市财政局信息技术中心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陕西木升林项目管理有限公司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（一）服务期满后按照成交供应商所提供的资料及数据进行验收； （二）最终验收：活动结束后，甲方对照服务内容及成果交付要求进行验收；服务商需配合提供验收所需的全部资料，并对疑问进行书面说明。 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（一）服务期满后按照成交供应商所提供的资料及数据进行验收； （二）最终验收：活动结束后，甲方对照服务内容及成果交付要求进行验收；服务商需配合提供验收所需的全部资料，并对疑问进行书面说明。 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采购包1：A标段：铜川市财政局智能化办公平台等业务系统运维服务，具体详见采购文件。采购包2：B标段：铜川市财政局网络及核心机房运维服务，具体详见采购文件。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A标段：铜川市财政局智能化办公平台等业务系统运维服务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364,000.00</w:t>
      </w:r>
    </w:p>
    <w:p>
      <w:pPr>
        <w:pStyle w:val="null3"/>
      </w:pPr>
      <w:r>
        <w:rPr>
          <w:rFonts w:ascii="仿宋_GB2312" w:hAnsi="仿宋_GB2312" w:cs="仿宋_GB2312" w:eastAsia="仿宋_GB2312"/>
        </w:rPr>
        <w:t>采购包最高限价（元）: 364,000.00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B标段：铜川市财政局网络及核心机房运维服务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标的名称：A标段：铜川市财政局智能化办公平台等业务系统运维服务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供应商报价不允许超过标的金额</w:t>
            </w:r>
          </w:p>
          <w:p>
            <w:pPr>
              <w:pStyle w:val="null3"/>
            </w:pPr>
            <w:r>
              <w:rPr>
                <w:rFonts w:ascii="仿宋_GB2312" w:hAnsi="仿宋_GB2312" w:cs="仿宋_GB2312" w:eastAsia="仿宋_GB2312"/>
                <w:sz w:val="21"/>
              </w:rPr>
              <w:t>（招单价的）供应商报价不允许超过标的单价</w:t>
            </w:r>
          </w:p>
          <w:p>
            <w:pPr>
              <w:pStyle w:val="null3"/>
            </w:pPr>
            <w:r>
              <w:rPr>
                <w:rFonts w:ascii="仿宋_GB2312" w:hAnsi="仿宋_GB2312" w:cs="仿宋_GB2312" w:eastAsia="仿宋_GB2312"/>
                <w:sz w:val="21"/>
              </w:rPr>
              <w:t>标的名称：</w:t>
            </w:r>
            <w:r>
              <w:rPr>
                <w:rFonts w:ascii="仿宋_GB2312" w:hAnsi="仿宋_GB2312" w:cs="仿宋_GB2312" w:eastAsia="仿宋_GB2312"/>
                <w:sz w:val="21"/>
              </w:rPr>
              <w:t>A标段：铜川市财政局智能化办公平台等业务系统运维服务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83"/>
              <w:gridCol w:w="1655"/>
              <w:gridCol w:w="415"/>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维护类别</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维护内容</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服务方式</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财政专网、外网安全监控管理</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财政专网、外网的安全监控、维护、安全修复等，负责财政网络核心交换机、防火墙、防病毒系统、日志审计等安全设备的运行监控管理，负责监控管理全市所有接入财政专网预算单位的桌面终端，确保网络安全稳定运行。</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7*24小时响应、至少2名驻场工程师、10名后端工程师</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财政局虚拟化平台及重要业务系统维护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负责财政业务虚拟化平台及物理主机、网络、存储等硬件设备的健康稳定运行；负责铜川财政各业务系统及服务器、数据库的维护，确保各系统安全稳定运行。</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财政智能化办公平台运维服务</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负责财政智能化办公平台的系统升级、流程变更、功能调整等工作，负责办公平台的基础数据维护等。</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财政智能化移动办公平台维护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移动端办公平台内待办事项、局内公文、会议、通知公告、日程、考勤、工作计划、问卷调查、用车申请、印章申请、因公外出、因私请假、工作在总结、实时消息、通讯录模块正常运行。</w:t>
                  </w:r>
                  <w:r>
                    <w:rPr>
                      <w:rFonts w:ascii="仿宋_GB2312" w:hAnsi="仿宋_GB2312" w:cs="仿宋_GB2312" w:eastAsia="仿宋_GB2312"/>
                      <w:sz w:val="22"/>
                      <w:color w:val="000000"/>
                    </w:rPr>
                    <w:t>2、模块内流程变更软件升级等。</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财政门户网站、微信公众平台维护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负责财政门户网站、微信公众平台的日常管理及内容更新；负责网站的改版、功能升级、数据备份等工作。</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财政办公平台服务器</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1、财政局办公平台服务器日常管理监控漏洞修复，实例软件，服务、系统升级调整等</w:t>
                  </w:r>
                  <w:r>
                    <w:br/>
                  </w:r>
                  <w:r>
                    <w:rPr>
                      <w:rFonts w:ascii="仿宋_GB2312" w:hAnsi="仿宋_GB2312" w:cs="仿宋_GB2312" w:eastAsia="仿宋_GB2312"/>
                      <w:sz w:val="22"/>
                      <w:color w:val="000000"/>
                    </w:rPr>
                    <w:t>2、财政局办公平台数据库维护；tccz网站数据库、OA主数据库正常运行实时监控漏洞修复；数据库版本升级调整等</w:t>
                  </w:r>
                  <w:r>
                    <w:br/>
                  </w:r>
                  <w:r>
                    <w:rPr>
                      <w:rFonts w:ascii="仿宋_GB2312" w:hAnsi="仿宋_GB2312" w:cs="仿宋_GB2312" w:eastAsia="仿宋_GB2312"/>
                      <w:sz w:val="22"/>
                      <w:color w:val="000000"/>
                    </w:rPr>
                    <w:t>3、定期对服务器漏洞进行扫描、及时进行安全处理</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财政云系统管理维护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财政云铜川本地业务日常管理</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财政智能化平台辅助业务维护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负责财政办公短信服务平台、专网即时通讯软件等运维服务。</w:t>
                  </w:r>
                </w:p>
              </w:tc>
              <w:tc>
                <w:tcPr>
                  <w:tcW w:type="dxa" w:w="415"/>
                  <w:vMerge/>
                  <w:tcBorders>
                    <w:top w:val="none" w:color="000000" w:sz="4"/>
                    <w:left w:val="single" w:color="000000" w:sz="4"/>
                    <w:bottom w:val="single" w:color="000000" w:sz="4"/>
                    <w:right w:val="single" w:color="000000" w:sz="4"/>
                  </w:tcBorders>
                </w:tc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其他业务系统</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财政内网财政云系统平台配置、</w:t>
                  </w:r>
                  <w:r>
                    <w:rPr>
                      <w:rFonts w:ascii="仿宋_GB2312" w:hAnsi="仿宋_GB2312" w:cs="仿宋_GB2312" w:eastAsia="仿宋_GB2312"/>
                      <w:sz w:val="22"/>
                      <w:color w:val="000000"/>
                    </w:rPr>
                    <w:t>890用户的权限挂接，1475条预算单位基础数据管理（预算单位编码、单位名称、单位零余额等），市本级1475条预算单位非税系统的基础数据管理、用户管理及业务指导。</w:t>
                  </w:r>
                </w:p>
              </w:tc>
              <w:tc>
                <w:tcPr>
                  <w:tcW w:type="dxa" w:w="415"/>
                  <w:vMerge/>
                  <w:tcBorders>
                    <w:top w:val="non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标的名称：B标段：铜川市财政局网络及核心机房运维服务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采购包</w:t>
            </w:r>
            <w:r>
              <w:rPr>
                <w:rFonts w:ascii="仿宋_GB2312" w:hAnsi="仿宋_GB2312" w:cs="仿宋_GB2312" w:eastAsia="仿宋_GB2312"/>
                <w:sz w:val="21"/>
              </w:rPr>
              <w:t>2：</w:t>
            </w:r>
          </w:p>
          <w:p>
            <w:pPr>
              <w:pStyle w:val="null3"/>
            </w:pPr>
            <w:r>
              <w:rPr>
                <w:rFonts w:ascii="仿宋_GB2312" w:hAnsi="仿宋_GB2312" w:cs="仿宋_GB2312" w:eastAsia="仿宋_GB2312"/>
                <w:sz w:val="21"/>
              </w:rPr>
              <w:t>供应商报价不允许超过标的金额</w:t>
            </w:r>
          </w:p>
          <w:p>
            <w:pPr>
              <w:pStyle w:val="null3"/>
            </w:pPr>
            <w:r>
              <w:rPr>
                <w:rFonts w:ascii="仿宋_GB2312" w:hAnsi="仿宋_GB2312" w:cs="仿宋_GB2312" w:eastAsia="仿宋_GB2312"/>
                <w:sz w:val="21"/>
              </w:rPr>
              <w:t>（招单价的）供应商报价不允许超过标的单价</w:t>
            </w:r>
          </w:p>
          <w:p>
            <w:pPr>
              <w:pStyle w:val="null3"/>
            </w:pPr>
            <w:r>
              <w:rPr>
                <w:rFonts w:ascii="仿宋_GB2312" w:hAnsi="仿宋_GB2312" w:cs="仿宋_GB2312" w:eastAsia="仿宋_GB2312"/>
                <w:sz w:val="21"/>
              </w:rPr>
              <w:t>标的名称：</w:t>
            </w:r>
            <w:r>
              <w:rPr>
                <w:rFonts w:ascii="仿宋_GB2312" w:hAnsi="仿宋_GB2312" w:cs="仿宋_GB2312" w:eastAsia="仿宋_GB2312"/>
                <w:sz w:val="21"/>
              </w:rPr>
              <w:t>B标段：铜川市财政局网络及核心机房运维服务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2"/>
              <w:gridCol w:w="281"/>
              <w:gridCol w:w="865"/>
              <w:gridCol w:w="162"/>
              <w:gridCol w:w="200"/>
              <w:gridCol w:w="327"/>
              <w:gridCol w:w="558"/>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名目</w:t>
                  </w:r>
                </w:p>
              </w:tc>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服务内容</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服务方式</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一、财政核心机房基础硬件和网络设施维护</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7*24小时响应、至少1名驻场工程师、1名外围工程师、2名后端工程师</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定期更换问题电缆接头，2、定期更换精密空调滤芯、皮带等备件，定期对室外机做清洗处理保障机房内空调正常使用。3、定期内对机柜内设备进行清扫打理4、定期对机房网络跳线等进行更换保障网络等正常运行5、定期对消防设备的检查及更换气体消除安全隐患。</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机房主备电源系统</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①蓄电池电压、电流正常②三相负载平衡  ③各电缆接头接触良好，无过热，无闪络现象</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机房精密空调系统</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①制冷效果良好②空气中无灰尘无杂物③空调排水系统正常、无渗漏</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机房服务器</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①磁盘读写正常、报警灯不闪亮②电源正常工作无损毁情况③设备表面无灰尘、无杂物、无污渍</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机房核心网络系统</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①核心内外网络设备各模块、引擎、端口指示灯正常工作②各光纤收发器端口、电源、收发指示灯正常工作③网络插头无松动、无交叉、无排列不整齐等凌乱现象④设备及线缆标识无污渍、字迹清晰</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机房安全防火墙系统</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①防火墙、病毒网关等网络设备各模块、引擎、端口指示灯正常工作②防火墙内部系统定时升级以达到良好效果③网络插头无松动、无交叉、无排列不整齐等凌乱现象④设备及线缆标识无污渍、字迹清晰</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楼层网络系统（</w:t>
                  </w:r>
                  <w:r>
                    <w:rPr>
                      <w:rFonts w:ascii="仿宋_GB2312" w:hAnsi="仿宋_GB2312" w:cs="仿宋_GB2312" w:eastAsia="仿宋_GB2312"/>
                      <w:sz w:val="21"/>
                      <w:color w:val="000000"/>
                    </w:rPr>
                    <w:t>1层-12层）</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核心内外网络设备各模块、引擎、端口指示灯正常工作②机关各科室内外网络运行正常工作③各楼层无线网络运行正常工作④网络插头无松动、无交叉、无排列不整齐等凌乱现象⑤设备及线缆标识无污渍、字迹清晰</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机房动环系统</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机房内温度（10-30℃）湿度（30-80%）噪声（30-120dB）等各类环境指数达到正常范围内②机房消防安全各报警指示灯正常③机房感烟探测器、感温探测器灯性能正常④机房气体消防设备压力及气体等正常⑤机房监控及门禁系统的正常运行及使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二、财政局办公硬件设备维护</w:t>
                  </w:r>
                </w:p>
              </w:tc>
              <w:tc>
                <w:tcPr>
                  <w:tcW w:type="dxa" w:w="327"/>
                  <w:vMerge/>
                  <w:tcBorders>
                    <w:top w:val="none" w:color="000000" w:sz="4"/>
                    <w:left w:val="single" w:color="000000" w:sz="4"/>
                    <w:bottom w:val="single" w:color="000000" w:sz="4"/>
                    <w:right w:val="single" w:color="000000" w:sz="4"/>
                  </w:tcBorders>
                </w:tcP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w:t>
                  </w:r>
                  <w:r>
                    <w:rPr>
                      <w:rFonts w:ascii="仿宋_GB2312" w:hAnsi="仿宋_GB2312" w:cs="仿宋_GB2312" w:eastAsia="仿宋_GB2312"/>
                      <w:sz w:val="20"/>
                      <w:color w:val="000000"/>
                    </w:rPr>
                    <w:t>1、对每天各科室出现的问题及时处理保障工作效率2、不定期的检查各个会议室设备的运行情况3、提供网络线缆备件及相关工具4、提供电脑易损配件（电源线、显示器连接线、键盘鼠标）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各科室办公电脑维护</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台式电脑及笔记本电脑系统运行流畅②对办公电脑发生的故障进行检测，诊断问题所在③办公软件及防杀毒软件安装使用④及时处理在工作中发生的各类问题⑤协助处理专业性较强的其他软件⑥及时处理网络连接等问题⑦做好计算机的软硬件台账建立工作</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各科室打印机等外设设备维护</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①打印机及复印机等外设设备正常使用②对及其外设设备发生的故障进行检测，诊断问题所在③及时处理打印机卡纸不进纸等情况</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云教室及教学机等设备维护</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①云教室计算机系统运行正常②对教学机发生的故障进行检测，诊断问题所在③确保每年会计考试及各类培训等正常使用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云教室多媒体网络及服务器监控等设备</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①云教室服务器系统运行正常②教室内监测系统的正常运行③教室网络等运行正常④多媒体系统检测及正常运行⑤确保每年会计考试及各类培训等正常使用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财政局会议室会议系统维护</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①各个会议室设备的正常运行②视频会议室会前调试检测③报告厅会议及显示系统运行正常④各类会议期间的保障工作</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三、市本级预算单位硬件及网络维护</w:t>
                  </w:r>
                </w:p>
              </w:tc>
              <w:tc>
                <w:tcPr>
                  <w:tcW w:type="dxa" w:w="327"/>
                  <w:vMerge/>
                  <w:tcBorders>
                    <w:top w:val="none" w:color="000000" w:sz="4"/>
                    <w:left w:val="single" w:color="000000" w:sz="4"/>
                    <w:bottom w:val="single" w:color="000000" w:sz="4"/>
                    <w:right w:val="single" w:color="000000" w:sz="4"/>
                  </w:tcBorders>
                </w:tcP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1、保障本市级330余家单位的财政专网正常使用2、提供网络易损件（网络跳线、水晶头、网络线缆、网络墙面模块）2、保障局机关各科室等国产设备的正常运行。</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本市级预算单位硬件设备及网络维护</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保障本市级330余家单位的财政专网使用正常②保障370余台财政专网客户端的正常使用及杀毒软件通软终端和财政云的插件等正常使用③做好各个单位的IP地址登记④协助解决财政云相关权限挂接，基础信息维护，UK制作等工作。</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政务大楼财政专网及网络设备维护</w:t>
                  </w:r>
                </w:p>
              </w:tc>
              <w:tc>
                <w:tcPr>
                  <w:tcW w:type="dxa" w:w="86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①保障政务大楼财政专网使用正常②各楼层财政专网交换机指示灯正常工作③网络插头无松动、无交叉、无排列不整齐等凌乱现象④设备及线缆标识无污渍、字迹清晰</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四、财政局局机关及各科室等国产化设备替代</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局机关及各科室国产化设备安装及调试</w:t>
                  </w: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①在替换国产化中保证所有数据的完整备份②保证所有外设设备的连接及正常运行，③做好资产登记，台账建立等工作。</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至少2名驻场工程师、10名后端工程师。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至少1名驻场工程师、1名外围工程师、2名后端工程师。</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满足履行合同需求。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半年考评合格后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年度考评合格后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半年考评合格后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年度考评合格后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2.验收须以合同、单一来源采购文件及单一来源响应文件、澄清、及国家相应的标准、规范等为依据。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1.成交供应商向采购人提交项目实施过程中的所有资料。 2.验收须以合同、单一来源采购文件及单一来源响应文件、澄清、及国家相应的标准、规范等为依据。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采取一次招标三年沿用、实行一年一签合同、分期考核、分期付款的办法，一年期满后，采购人根据相关政策以及成交供应商服务质量与成交供应商续签下一年合同，服务保持不变的前提下价格不得增加。 3、本项目所属行业为：软件和信息技术服务业。根据《工业和信息化部、国家统计局、国家发展和改革委员会、财政部关于印发中小企业划型标准规定的通知》《工信部联企业(2011)300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4、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否则将承担一切法律责任，纸质版响应文件必须装订成册，文件封面加盖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2、本项目采取一次招标三年沿用、实行一年一签合同、分期考核、分期付款的办法，一年期满后，采购人根据相关政策以及成交供应商服务质量与成交供应商续签下一 年合同，服务保持不变的前提下价格不得增加。 3、本项目所属行业为：软件和信息技术服务业。根据《工业和信息化部、国家统计局、国家发展和改革委员会、财政部关于印发中小企业划型标准规定的通知》《工信部联企业(2011)300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4、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否则将承担一切法律责任，纸质版响应文件必须装订成册，文件封面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响应文件提交截止时间前一年内至少一个月已缴纳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响应文件提交截止时间前一年内至少一个月已缴纳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②可提供截至响应文件提交截止日前六个月内开户银行出具的资信证明（附基本存款账户信息）；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响应文件提交截止时间前一年内至少一个月已缴纳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响应文件提交截止时间前一年内至少一个月已缴纳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②可提供截至响应文件提交截止日前六个月内开户银行出具的资信证明（附基本存款账户信息）；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协商过程中，协商小组认为供应商的报价有可能影响产品质量或者不能诚信履约的，协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标的清单 报价表 费用明细表.docx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响应文件内容应全面响应单一来源采购文件要求</w:t>
            </w:r>
          </w:p>
        </w:tc>
        <w:tc>
          <w:tcPr>
            <w:tcW w:type="dxa" w:w="1661"/>
          </w:tcPr>
          <w:p>
            <w:pPr>
              <w:pStyle w:val="null3"/>
            </w:pPr>
            <w:r>
              <w:rPr>
                <w:rFonts w:ascii="仿宋_GB2312" w:hAnsi="仿宋_GB2312" w:cs="仿宋_GB2312" w:eastAsia="仿宋_GB2312"/>
              </w:rPr>
              <w:t>商务响应偏离表.docx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无未实质性响应及无效标的情形。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 费用明细表.docx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业绩.docx 中小企业声明函 报价表 费用明细表.docx 供应商承诺书.docx 响应文件封面 本项目拟投入人员汇总表.docx 供应商应提交的相关资格证明材料.docx 商务响应偏离表.docx 残疾人福利性单位声明函 技术（服务）方案说明书.docx 标的清单 其他资料.docx 响应函 监狱企业的证明文件 合同条款响应偏离表.docx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协商过程中，协商小组认为供应商的报价有可能影响产品质量或者不能诚信履约的，协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标的清单 报价表 费用明细表.docx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响应文件内容应全面响应单一来源采购文件要求</w:t>
            </w:r>
          </w:p>
        </w:tc>
        <w:tc>
          <w:tcPr>
            <w:tcW w:type="dxa" w:w="1661"/>
          </w:tcPr>
          <w:p>
            <w:pPr>
              <w:pStyle w:val="null3"/>
            </w:pPr>
            <w:r>
              <w:rPr>
                <w:rFonts w:ascii="仿宋_GB2312" w:hAnsi="仿宋_GB2312" w:cs="仿宋_GB2312" w:eastAsia="仿宋_GB2312"/>
              </w:rPr>
              <w:t>商务响应偏离表.docx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无未实质性响应及无效标的情形。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商务响应偏离表.docx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业绩.docx 中小企业声明函 报价表 费用明细表.docx 供应商承诺书.docx 响应文件封面 本项目拟投入人员汇总表.docx 供应商应提交的相关资格证明材料.docx 商务响应偏离表.docx 残疾人福利性单位声明函 技术（服务）方案说明书.docx 标的清单 其他资料.docx 响应函 监狱企业的证明文件 合同条款响应偏离表.docx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详见附件：费用明细表.docx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详见附件：技术（服务）方案说明书.docx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详见附件：费用明细表.docx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详见附件：技术（服务）方案说明书.docx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