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55FF7A">
      <w:pPr>
        <w:pStyle w:val="8"/>
        <w:jc w:val="center"/>
        <w:outlineLvl w:val="1"/>
        <w:rPr>
          <w:rFonts w:hint="eastAsia" w:ascii="宋体" w:hAnsi="宋体" w:eastAsia="宋体" w:cs="宋体"/>
        </w:rPr>
      </w:pPr>
      <w:r>
        <w:rPr>
          <w:rFonts w:hint="eastAsia" w:ascii="宋体" w:hAnsi="宋体" w:eastAsia="宋体" w:cs="宋体"/>
          <w:b/>
          <w:sz w:val="36"/>
        </w:rPr>
        <w:t>拟签订采购合同文本</w:t>
      </w:r>
    </w:p>
    <w:p w14:paraId="31BE6E0E">
      <w:pPr>
        <w:spacing w:line="265" w:lineRule="auto"/>
        <w:rPr>
          <w:rFonts w:hint="eastAsia" w:ascii="仿宋" w:hAnsi="仿宋" w:eastAsia="仿宋" w:cs="仿宋"/>
          <w:b w:val="0"/>
          <w:bCs w:val="0"/>
          <w:color w:val="auto"/>
          <w:sz w:val="21"/>
          <w:highlight w:val="none"/>
        </w:rPr>
      </w:pPr>
    </w:p>
    <w:p w14:paraId="250B7019">
      <w:pPr>
        <w:spacing w:line="266" w:lineRule="auto"/>
        <w:ind w:firstLine="361" w:firstLineChars="100"/>
        <w:rPr>
          <w:rFonts w:hint="eastAsia" w:ascii="仿宋" w:hAnsi="仿宋" w:eastAsia="仿宋" w:cs="仿宋"/>
          <w:b w:val="0"/>
          <w:bCs w:val="0"/>
          <w:color w:val="auto"/>
          <w:sz w:val="21"/>
          <w:highlight w:val="none"/>
          <w:lang w:val="en-US" w:eastAsia="zh-CN"/>
        </w:rPr>
      </w:pPr>
      <w:r>
        <w:rPr>
          <w:rFonts w:hint="eastAsia" w:ascii="仿宋" w:hAnsi="仿宋" w:eastAsia="仿宋" w:cs="仿宋"/>
          <w:b/>
          <w:bCs/>
          <w:color w:val="auto"/>
          <w:sz w:val="36"/>
          <w:szCs w:val="36"/>
          <w:highlight w:val="none"/>
        </w:rPr>
        <w:t>编号：</w:t>
      </w:r>
      <w:r>
        <w:rPr>
          <w:rFonts w:hint="eastAsia" w:ascii="仿宋" w:hAnsi="仿宋" w:eastAsia="仿宋" w:cs="仿宋"/>
          <w:b w:val="0"/>
          <w:bCs w:val="0"/>
          <w:color w:val="auto"/>
          <w:sz w:val="21"/>
          <w:highlight w:val="none"/>
        </w:rPr>
        <w:t xml:space="preserve"> </w:t>
      </w:r>
    </w:p>
    <w:p w14:paraId="660915AD">
      <w:pPr>
        <w:spacing w:line="266" w:lineRule="auto"/>
        <w:rPr>
          <w:rFonts w:hint="eastAsia" w:ascii="仿宋" w:hAnsi="仿宋" w:eastAsia="仿宋" w:cs="仿宋"/>
          <w:b w:val="0"/>
          <w:bCs w:val="0"/>
          <w:color w:val="auto"/>
          <w:sz w:val="21"/>
          <w:highlight w:val="none"/>
        </w:rPr>
      </w:pPr>
    </w:p>
    <w:p w14:paraId="54D2079D">
      <w:pPr>
        <w:spacing w:line="266" w:lineRule="auto"/>
        <w:rPr>
          <w:rFonts w:hint="eastAsia" w:ascii="仿宋" w:hAnsi="仿宋" w:eastAsia="仿宋" w:cs="仿宋"/>
          <w:b w:val="0"/>
          <w:bCs w:val="0"/>
          <w:color w:val="auto"/>
          <w:sz w:val="21"/>
          <w:highlight w:val="none"/>
        </w:rPr>
      </w:pPr>
    </w:p>
    <w:p w14:paraId="0E51BE7D">
      <w:pPr>
        <w:pStyle w:val="2"/>
        <w:rPr>
          <w:rFonts w:hint="eastAsia"/>
        </w:rPr>
      </w:pPr>
    </w:p>
    <w:p w14:paraId="3CC64127">
      <w:pPr>
        <w:spacing w:line="266" w:lineRule="auto"/>
        <w:rPr>
          <w:rFonts w:hint="eastAsia" w:ascii="仿宋" w:hAnsi="仿宋" w:eastAsia="仿宋" w:cs="仿宋"/>
          <w:b w:val="0"/>
          <w:bCs w:val="0"/>
          <w:color w:val="auto"/>
          <w:sz w:val="21"/>
          <w:highlight w:val="none"/>
        </w:rPr>
      </w:pPr>
    </w:p>
    <w:p w14:paraId="396FEF34">
      <w:pPr>
        <w:spacing w:line="248" w:lineRule="auto"/>
        <w:jc w:val="center"/>
        <w:rPr>
          <w:rFonts w:hint="eastAsia" w:ascii="仿宋" w:hAnsi="仿宋" w:eastAsia="仿宋" w:cs="仿宋"/>
          <w:b w:val="0"/>
          <w:bCs w:val="0"/>
          <w:color w:val="auto"/>
          <w:sz w:val="21"/>
          <w:highlight w:val="none"/>
        </w:rPr>
      </w:pPr>
      <w:bookmarkStart w:id="0" w:name="bookmark7"/>
      <w:bookmarkEnd w:id="0"/>
      <w:r>
        <w:rPr>
          <w:rFonts w:hint="eastAsia" w:ascii="仿宋" w:hAnsi="仿宋" w:eastAsia="仿宋" w:cs="仿宋"/>
          <w:b/>
          <w:bCs/>
          <w:color w:val="auto"/>
          <w:sz w:val="44"/>
          <w:szCs w:val="44"/>
          <w:highlight w:val="none"/>
          <w:lang w:eastAsia="zh-CN"/>
        </w:rPr>
        <w:t>铜川市实验中学鱼池校区维修改造项目</w:t>
      </w:r>
    </w:p>
    <w:p w14:paraId="240942C6">
      <w:pPr>
        <w:spacing w:line="248" w:lineRule="auto"/>
        <w:rPr>
          <w:rFonts w:hint="eastAsia" w:ascii="仿宋" w:hAnsi="仿宋" w:eastAsia="仿宋" w:cs="仿宋"/>
          <w:b w:val="0"/>
          <w:bCs w:val="0"/>
          <w:color w:val="auto"/>
          <w:sz w:val="21"/>
          <w:highlight w:val="none"/>
        </w:rPr>
      </w:pPr>
    </w:p>
    <w:p w14:paraId="51C7C4D1">
      <w:pPr>
        <w:spacing w:line="248" w:lineRule="auto"/>
        <w:rPr>
          <w:rFonts w:hint="eastAsia" w:ascii="仿宋" w:hAnsi="仿宋" w:eastAsia="仿宋" w:cs="仿宋"/>
          <w:b w:val="0"/>
          <w:bCs w:val="0"/>
          <w:color w:val="auto"/>
          <w:sz w:val="21"/>
          <w:highlight w:val="none"/>
        </w:rPr>
      </w:pPr>
    </w:p>
    <w:p w14:paraId="447C72D7">
      <w:pPr>
        <w:spacing w:line="248" w:lineRule="auto"/>
        <w:rPr>
          <w:rFonts w:hint="eastAsia" w:ascii="仿宋" w:hAnsi="仿宋" w:eastAsia="仿宋" w:cs="仿宋"/>
          <w:b w:val="0"/>
          <w:bCs w:val="0"/>
          <w:color w:val="auto"/>
          <w:sz w:val="21"/>
          <w:highlight w:val="none"/>
        </w:rPr>
      </w:pPr>
    </w:p>
    <w:p w14:paraId="1C502679">
      <w:pPr>
        <w:pStyle w:val="2"/>
        <w:rPr>
          <w:rFonts w:hint="eastAsia"/>
        </w:rPr>
      </w:pPr>
    </w:p>
    <w:p w14:paraId="12884090">
      <w:pPr>
        <w:spacing w:line="248" w:lineRule="auto"/>
        <w:rPr>
          <w:rFonts w:hint="eastAsia" w:ascii="仿宋" w:hAnsi="仿宋" w:eastAsia="仿宋" w:cs="仿宋"/>
          <w:b w:val="0"/>
          <w:bCs w:val="0"/>
          <w:color w:val="auto"/>
          <w:sz w:val="21"/>
          <w:highlight w:val="none"/>
        </w:rPr>
      </w:pPr>
    </w:p>
    <w:p w14:paraId="4A8AF8BC">
      <w:pPr>
        <w:spacing w:line="248" w:lineRule="auto"/>
        <w:rPr>
          <w:rFonts w:hint="eastAsia" w:ascii="仿宋" w:hAnsi="仿宋" w:eastAsia="仿宋" w:cs="仿宋"/>
          <w:b w:val="0"/>
          <w:bCs w:val="0"/>
          <w:color w:val="auto"/>
          <w:sz w:val="21"/>
          <w:highlight w:val="none"/>
        </w:rPr>
      </w:pPr>
    </w:p>
    <w:p w14:paraId="55CFB362">
      <w:pPr>
        <w:spacing w:line="249" w:lineRule="auto"/>
        <w:rPr>
          <w:rFonts w:hint="eastAsia" w:ascii="仿宋" w:hAnsi="仿宋" w:eastAsia="仿宋" w:cs="仿宋"/>
          <w:b w:val="0"/>
          <w:bCs w:val="0"/>
          <w:color w:val="auto"/>
          <w:sz w:val="21"/>
          <w:highlight w:val="none"/>
        </w:rPr>
      </w:pPr>
    </w:p>
    <w:p w14:paraId="2F678829">
      <w:pPr>
        <w:spacing w:line="248" w:lineRule="auto"/>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合  同</w:t>
      </w:r>
    </w:p>
    <w:p w14:paraId="5B29E10A">
      <w:pPr>
        <w:spacing w:line="249" w:lineRule="auto"/>
        <w:rPr>
          <w:rFonts w:hint="eastAsia" w:ascii="仿宋" w:hAnsi="仿宋" w:eastAsia="仿宋" w:cs="仿宋"/>
          <w:b w:val="0"/>
          <w:bCs w:val="0"/>
          <w:color w:val="auto"/>
          <w:sz w:val="21"/>
          <w:highlight w:val="none"/>
        </w:rPr>
      </w:pPr>
    </w:p>
    <w:p w14:paraId="5007A1A5">
      <w:pPr>
        <w:spacing w:line="249" w:lineRule="auto"/>
        <w:rPr>
          <w:rFonts w:hint="eastAsia" w:ascii="仿宋" w:hAnsi="仿宋" w:eastAsia="仿宋" w:cs="仿宋"/>
          <w:b w:val="0"/>
          <w:bCs w:val="0"/>
          <w:color w:val="auto"/>
          <w:sz w:val="21"/>
          <w:highlight w:val="none"/>
        </w:rPr>
      </w:pPr>
    </w:p>
    <w:p w14:paraId="4A049242">
      <w:pPr>
        <w:spacing w:line="249" w:lineRule="auto"/>
        <w:rPr>
          <w:rFonts w:hint="eastAsia" w:ascii="仿宋" w:hAnsi="仿宋" w:eastAsia="仿宋" w:cs="仿宋"/>
          <w:b w:val="0"/>
          <w:bCs w:val="0"/>
          <w:color w:val="auto"/>
          <w:sz w:val="21"/>
          <w:highlight w:val="none"/>
        </w:rPr>
      </w:pPr>
    </w:p>
    <w:p w14:paraId="53183A19">
      <w:pPr>
        <w:spacing w:line="249" w:lineRule="auto"/>
        <w:rPr>
          <w:rFonts w:hint="eastAsia" w:ascii="仿宋" w:hAnsi="仿宋" w:eastAsia="仿宋" w:cs="仿宋"/>
          <w:b w:val="0"/>
          <w:bCs w:val="0"/>
          <w:color w:val="auto"/>
          <w:sz w:val="21"/>
          <w:highlight w:val="none"/>
        </w:rPr>
      </w:pPr>
    </w:p>
    <w:p w14:paraId="7111E402">
      <w:pPr>
        <w:spacing w:line="249" w:lineRule="auto"/>
        <w:rPr>
          <w:rFonts w:hint="eastAsia" w:ascii="仿宋" w:hAnsi="仿宋" w:eastAsia="仿宋" w:cs="仿宋"/>
          <w:b w:val="0"/>
          <w:bCs w:val="0"/>
          <w:color w:val="auto"/>
          <w:sz w:val="21"/>
          <w:highlight w:val="none"/>
        </w:rPr>
      </w:pPr>
    </w:p>
    <w:p w14:paraId="661CF77C">
      <w:pPr>
        <w:spacing w:line="249" w:lineRule="auto"/>
        <w:rPr>
          <w:rFonts w:hint="eastAsia" w:ascii="仿宋" w:hAnsi="仿宋" w:eastAsia="仿宋" w:cs="仿宋"/>
          <w:b w:val="0"/>
          <w:bCs w:val="0"/>
          <w:color w:val="auto"/>
          <w:sz w:val="21"/>
          <w:highlight w:val="none"/>
        </w:rPr>
      </w:pPr>
    </w:p>
    <w:p w14:paraId="4FEF728E">
      <w:pPr>
        <w:spacing w:line="249" w:lineRule="auto"/>
        <w:rPr>
          <w:rFonts w:hint="eastAsia" w:ascii="仿宋" w:hAnsi="仿宋" w:eastAsia="仿宋" w:cs="仿宋"/>
          <w:b w:val="0"/>
          <w:bCs w:val="0"/>
          <w:color w:val="auto"/>
          <w:sz w:val="21"/>
          <w:highlight w:val="none"/>
        </w:rPr>
      </w:pPr>
    </w:p>
    <w:p w14:paraId="79D72123">
      <w:pPr>
        <w:spacing w:line="249" w:lineRule="auto"/>
        <w:rPr>
          <w:rFonts w:hint="eastAsia" w:ascii="仿宋" w:hAnsi="仿宋" w:eastAsia="仿宋" w:cs="仿宋"/>
          <w:b w:val="0"/>
          <w:bCs w:val="0"/>
          <w:color w:val="auto"/>
          <w:sz w:val="21"/>
          <w:highlight w:val="none"/>
        </w:rPr>
      </w:pPr>
    </w:p>
    <w:p w14:paraId="5C12AD9A">
      <w:pPr>
        <w:spacing w:line="249" w:lineRule="auto"/>
        <w:rPr>
          <w:rFonts w:hint="eastAsia" w:ascii="仿宋" w:hAnsi="仿宋" w:eastAsia="仿宋" w:cs="仿宋"/>
          <w:b w:val="0"/>
          <w:bCs w:val="0"/>
          <w:color w:val="auto"/>
          <w:sz w:val="21"/>
          <w:highlight w:val="none"/>
        </w:rPr>
      </w:pPr>
    </w:p>
    <w:p w14:paraId="5A449B1D">
      <w:pPr>
        <w:spacing w:line="249" w:lineRule="auto"/>
        <w:rPr>
          <w:rFonts w:hint="eastAsia" w:ascii="仿宋" w:hAnsi="仿宋" w:eastAsia="仿宋" w:cs="仿宋"/>
          <w:b w:val="0"/>
          <w:bCs w:val="0"/>
          <w:color w:val="auto"/>
          <w:sz w:val="21"/>
          <w:highlight w:val="none"/>
        </w:rPr>
      </w:pPr>
    </w:p>
    <w:p w14:paraId="19866E48">
      <w:pPr>
        <w:spacing w:line="249" w:lineRule="auto"/>
        <w:rPr>
          <w:rFonts w:hint="eastAsia" w:ascii="仿宋" w:hAnsi="仿宋" w:eastAsia="仿宋" w:cs="仿宋"/>
          <w:b w:val="0"/>
          <w:bCs w:val="0"/>
          <w:color w:val="auto"/>
          <w:sz w:val="21"/>
          <w:highlight w:val="none"/>
        </w:rPr>
      </w:pPr>
    </w:p>
    <w:p w14:paraId="646CF3F8">
      <w:pPr>
        <w:spacing w:line="249" w:lineRule="auto"/>
        <w:rPr>
          <w:rFonts w:hint="eastAsia" w:ascii="仿宋" w:hAnsi="仿宋" w:eastAsia="仿宋" w:cs="仿宋"/>
          <w:b w:val="0"/>
          <w:bCs w:val="0"/>
          <w:color w:val="auto"/>
          <w:sz w:val="21"/>
          <w:highlight w:val="none"/>
        </w:rPr>
      </w:pPr>
    </w:p>
    <w:p w14:paraId="50DC61F2">
      <w:pPr>
        <w:spacing w:line="249" w:lineRule="auto"/>
        <w:rPr>
          <w:rFonts w:hint="eastAsia" w:ascii="仿宋" w:hAnsi="仿宋" w:eastAsia="仿宋" w:cs="仿宋"/>
          <w:b w:val="0"/>
          <w:bCs w:val="0"/>
          <w:color w:val="auto"/>
          <w:sz w:val="21"/>
          <w:highlight w:val="none"/>
        </w:rPr>
      </w:pPr>
    </w:p>
    <w:p w14:paraId="7901DB00">
      <w:pPr>
        <w:widowControl/>
        <w:spacing w:line="480" w:lineRule="auto"/>
        <w:ind w:firstLine="1285" w:firstLineChars="400"/>
        <w:jc w:val="left"/>
        <w:rPr>
          <w:rFonts w:hint="eastAsia" w:ascii="仿宋" w:hAnsi="仿宋" w:eastAsia="仿宋" w:cs="仿宋"/>
          <w:b/>
          <w:bCs/>
          <w:color w:val="auto"/>
          <w:kern w:val="0"/>
          <w:sz w:val="32"/>
          <w:szCs w:val="32"/>
          <w:highlight w:val="none"/>
          <w:lang w:eastAsia="zh-CN"/>
        </w:rPr>
      </w:pPr>
      <w:r>
        <w:rPr>
          <w:rFonts w:hint="eastAsia" w:ascii="仿宋" w:hAnsi="仿宋" w:eastAsia="仿宋" w:cs="仿宋"/>
          <w:b/>
          <w:bCs/>
          <w:color w:val="auto"/>
          <w:kern w:val="0"/>
          <w:sz w:val="32"/>
          <w:szCs w:val="32"/>
          <w:highlight w:val="none"/>
        </w:rPr>
        <w:t>甲方：</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b/>
          <w:bCs/>
          <w:color w:val="auto"/>
          <w:sz w:val="32"/>
          <w:szCs w:val="32"/>
          <w:highlight w:val="none"/>
          <w:u w:val="single"/>
          <w:lang w:eastAsia="zh-CN"/>
        </w:rPr>
        <w:t>铜川市实验中学</w:t>
      </w:r>
    </w:p>
    <w:p w14:paraId="592F66B2">
      <w:pPr>
        <w:widowControl/>
        <w:spacing w:line="480" w:lineRule="auto"/>
        <w:ind w:firstLine="1285" w:firstLineChars="400"/>
        <w:jc w:val="left"/>
        <w:rPr>
          <w:rFonts w:hint="eastAsia" w:ascii="仿宋" w:hAnsi="仿宋" w:eastAsia="仿宋" w:cs="仿宋"/>
          <w:b/>
          <w:bCs/>
          <w:color w:val="auto"/>
          <w:sz w:val="21"/>
          <w:highlight w:val="none"/>
        </w:rPr>
      </w:pPr>
      <w:r>
        <w:rPr>
          <w:rFonts w:hint="eastAsia" w:ascii="仿宋" w:hAnsi="仿宋" w:eastAsia="仿宋" w:cs="仿宋"/>
          <w:b/>
          <w:bCs/>
          <w:color w:val="auto"/>
          <w:kern w:val="0"/>
          <w:sz w:val="32"/>
          <w:szCs w:val="32"/>
          <w:highlight w:val="none"/>
        </w:rPr>
        <w:t>乙方：</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b/>
          <w:bCs/>
          <w:color w:val="auto"/>
          <w:kern w:val="0"/>
          <w:sz w:val="32"/>
          <w:szCs w:val="32"/>
          <w:highlight w:val="none"/>
          <w:u w:val="single"/>
          <w:lang w:val="en-US" w:eastAsia="zh-CN"/>
        </w:rPr>
        <w:t xml:space="preserve">             </w:t>
      </w:r>
    </w:p>
    <w:p w14:paraId="5290B093">
      <w:pPr>
        <w:widowControl/>
        <w:ind w:firstLine="1285" w:firstLineChars="400"/>
        <w:jc w:val="left"/>
        <w:rPr>
          <w:rFonts w:hint="eastAsia" w:ascii="仿宋" w:hAnsi="仿宋" w:eastAsia="仿宋" w:cs="仿宋"/>
          <w:b/>
          <w:bCs/>
          <w:color w:val="auto"/>
          <w:kern w:val="0"/>
          <w:sz w:val="32"/>
          <w:szCs w:val="32"/>
          <w:highlight w:val="none"/>
          <w:lang w:val="en-US" w:eastAsia="zh-CN"/>
        </w:rPr>
      </w:pPr>
      <w:r>
        <w:rPr>
          <w:rFonts w:hint="eastAsia" w:ascii="仿宋" w:hAnsi="仿宋" w:eastAsia="仿宋" w:cs="仿宋"/>
          <w:b/>
          <w:bCs/>
          <w:color w:val="auto"/>
          <w:kern w:val="0"/>
          <w:sz w:val="32"/>
          <w:szCs w:val="32"/>
          <w:highlight w:val="none"/>
        </w:rPr>
        <w:t>签订时间：</w:t>
      </w:r>
      <w:r>
        <w:rPr>
          <w:rFonts w:hint="eastAsia" w:ascii="仿宋" w:hAnsi="仿宋" w:eastAsia="仿宋" w:cs="仿宋"/>
          <w:b/>
          <w:bCs/>
          <w:color w:val="auto"/>
          <w:kern w:val="0"/>
          <w:sz w:val="32"/>
          <w:szCs w:val="32"/>
          <w:highlight w:val="none"/>
          <w:lang w:val="en-US" w:eastAsia="zh-CN"/>
        </w:rPr>
        <w:t>2025</w:t>
      </w:r>
      <w:r>
        <w:rPr>
          <w:rFonts w:hint="eastAsia" w:ascii="仿宋" w:hAnsi="仿宋" w:eastAsia="仿宋" w:cs="仿宋"/>
          <w:b/>
          <w:bCs/>
          <w:color w:val="auto"/>
          <w:kern w:val="0"/>
          <w:sz w:val="32"/>
          <w:szCs w:val="32"/>
          <w:highlight w:val="none"/>
        </w:rPr>
        <w:t xml:space="preserve"> 年</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b/>
          <w:bCs/>
          <w:color w:val="auto"/>
          <w:kern w:val="0"/>
          <w:sz w:val="32"/>
          <w:szCs w:val="32"/>
          <w:highlight w:val="none"/>
        </w:rPr>
        <w:t xml:space="preserve"> 月</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b/>
          <w:bCs/>
          <w:color w:val="auto"/>
          <w:kern w:val="0"/>
          <w:sz w:val="32"/>
          <w:szCs w:val="32"/>
          <w:highlight w:val="none"/>
        </w:rPr>
        <w:t xml:space="preserve"> 日</w:t>
      </w:r>
    </w:p>
    <w:p w14:paraId="01157766">
      <w:pPr>
        <w:spacing w:line="246" w:lineRule="auto"/>
        <w:rPr>
          <w:rFonts w:hint="eastAsia" w:ascii="仿宋" w:hAnsi="仿宋" w:eastAsia="仿宋" w:cs="仿宋"/>
          <w:b w:val="0"/>
          <w:bCs w:val="0"/>
          <w:color w:val="auto"/>
          <w:sz w:val="21"/>
          <w:highlight w:val="none"/>
        </w:rPr>
      </w:pPr>
    </w:p>
    <w:p w14:paraId="2644D153">
      <w:pPr>
        <w:spacing w:line="246" w:lineRule="auto"/>
        <w:rPr>
          <w:rFonts w:hint="eastAsia" w:ascii="仿宋" w:hAnsi="仿宋" w:eastAsia="仿宋" w:cs="仿宋"/>
          <w:b w:val="0"/>
          <w:bCs w:val="0"/>
          <w:color w:val="auto"/>
          <w:sz w:val="21"/>
          <w:highlight w:val="none"/>
        </w:rPr>
      </w:pPr>
    </w:p>
    <w:p w14:paraId="586FA912">
      <w:pP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br w:type="page"/>
      </w:r>
    </w:p>
    <w:p w14:paraId="144CA2F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eastAsia="zh-CN"/>
        </w:rPr>
        <w:t>铜川市实验中学鱼池校区维修改造项目</w:t>
      </w:r>
      <w:r>
        <w:rPr>
          <w:rFonts w:hint="eastAsia" w:ascii="仿宋" w:hAnsi="仿宋" w:eastAsia="仿宋" w:cs="仿宋"/>
          <w:b/>
          <w:bCs/>
          <w:color w:val="auto"/>
          <w:sz w:val="32"/>
          <w:szCs w:val="32"/>
          <w:highlight w:val="none"/>
          <w:lang w:val="en-US" w:eastAsia="zh-CN"/>
        </w:rPr>
        <w:t>合同</w:t>
      </w:r>
    </w:p>
    <w:p w14:paraId="4A156C52">
      <w:pPr>
        <w:pStyle w:val="5"/>
        <w:keepNext w:val="0"/>
        <w:keepLines w:val="0"/>
        <w:pageBreakBefore w:val="0"/>
        <w:widowControl/>
        <w:kinsoku w:val="0"/>
        <w:wordWrap/>
        <w:overflowPunct/>
        <w:topLinePunct w:val="0"/>
        <w:autoSpaceDE w:val="0"/>
        <w:autoSpaceDN w:val="0"/>
        <w:bidi w:val="0"/>
        <w:adjustRightInd w:val="0"/>
        <w:snapToGrid w:val="0"/>
        <w:spacing w:before="0" w:beforeLines="50" w:after="0" w:afterLines="100"/>
        <w:jc w:val="center"/>
        <w:textAlignment w:val="baseline"/>
        <w:rPr>
          <w:rFonts w:hint="eastAsia" w:ascii="仿宋" w:hAnsi="仿宋" w:eastAsia="仿宋" w:cs="仿宋"/>
          <w:color w:val="auto"/>
          <w:highlight w:val="none"/>
          <w:lang w:val="en-US" w:eastAsia="zh-CN"/>
        </w:rPr>
      </w:pPr>
      <w:bookmarkStart w:id="1" w:name="_Toc12538"/>
      <w:r>
        <w:rPr>
          <w:rFonts w:hint="eastAsia" w:ascii="仿宋" w:hAnsi="仿宋" w:eastAsia="仿宋" w:cs="仿宋"/>
          <w:color w:val="auto"/>
          <w:spacing w:val="7"/>
          <w:sz w:val="21"/>
          <w:szCs w:val="21"/>
          <w:highlight w:val="none"/>
          <w:lang w:val="en-US" w:eastAsia="zh-CN"/>
        </w:rPr>
        <w:t>（本合同为参考合同，具体以最终签订版本为准）</w:t>
      </w:r>
      <w:bookmarkEnd w:id="1"/>
    </w:p>
    <w:p w14:paraId="1BA038C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甲方（采购人）：</w:t>
      </w:r>
      <w:r>
        <w:rPr>
          <w:rFonts w:hint="eastAsia" w:ascii="仿宋" w:hAnsi="仿宋" w:eastAsia="仿宋" w:cs="仿宋"/>
          <w:color w:val="auto"/>
          <w:sz w:val="24"/>
          <w:szCs w:val="24"/>
          <w:highlight w:val="none"/>
          <w:lang w:eastAsia="zh-CN"/>
        </w:rPr>
        <w:t>铜川市实验中学</w:t>
      </w:r>
    </w:p>
    <w:p w14:paraId="69BD7C3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成交供应商</w:t>
      </w:r>
      <w:r>
        <w:rPr>
          <w:rFonts w:hint="eastAsia" w:ascii="仿宋" w:hAnsi="仿宋" w:eastAsia="仿宋" w:cs="仿宋"/>
          <w:color w:val="auto"/>
          <w:sz w:val="24"/>
          <w:szCs w:val="24"/>
          <w:highlight w:val="none"/>
        </w:rPr>
        <w:t xml:space="preserve">）： </w:t>
      </w:r>
    </w:p>
    <w:p w14:paraId="011A165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eastAsia="zh-CN"/>
        </w:rPr>
        <w:t>鱼池校区维修改造项目</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eastAsia="zh-CN"/>
        </w:rPr>
        <w:t>西北国际（陕西）造价管理集团</w:t>
      </w:r>
      <w:r>
        <w:rPr>
          <w:rFonts w:hint="eastAsia" w:ascii="仿宋" w:hAnsi="仿宋" w:eastAsia="仿宋" w:cs="仿宋"/>
          <w:color w:val="auto"/>
          <w:sz w:val="24"/>
          <w:szCs w:val="24"/>
          <w:highlight w:val="none"/>
        </w:rPr>
        <w:t>有限公司组织</w:t>
      </w:r>
      <w:r>
        <w:rPr>
          <w:rFonts w:hint="eastAsia" w:ascii="仿宋" w:hAnsi="仿宋" w:eastAsia="仿宋" w:cs="仿宋"/>
          <w:color w:val="auto"/>
          <w:sz w:val="24"/>
          <w:szCs w:val="24"/>
          <w:highlight w:val="none"/>
          <w:lang w:eastAsia="zh-CN"/>
        </w:rPr>
        <w:t>竞争性磋商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铜川市实验中学</w:t>
      </w:r>
      <w:r>
        <w:rPr>
          <w:rFonts w:hint="eastAsia" w:ascii="仿宋" w:hAnsi="仿宋" w:eastAsia="仿宋" w:cs="仿宋"/>
          <w:color w:val="auto"/>
          <w:sz w:val="24"/>
          <w:szCs w:val="24"/>
          <w:highlight w:val="none"/>
        </w:rPr>
        <w:t>(以下简称“甲方”)确定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（以下简称“乙方”）为</w:t>
      </w:r>
      <w:r>
        <w:rPr>
          <w:rFonts w:hint="eastAsia" w:ascii="仿宋" w:hAnsi="仿宋" w:eastAsia="仿宋" w:cs="仿宋"/>
          <w:color w:val="auto"/>
          <w:sz w:val="24"/>
          <w:szCs w:val="24"/>
          <w:highlight w:val="none"/>
          <w:lang w:val="en-US" w:eastAsia="zh-CN"/>
        </w:rPr>
        <w:t>本项目</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eastAsia="zh-CN"/>
        </w:rPr>
        <w:t>成交供应商</w:t>
      </w:r>
      <w:r>
        <w:rPr>
          <w:rFonts w:hint="eastAsia" w:ascii="仿宋" w:hAnsi="仿宋" w:eastAsia="仿宋" w:cs="仿宋"/>
          <w:color w:val="auto"/>
          <w:sz w:val="24"/>
          <w:szCs w:val="24"/>
          <w:highlight w:val="none"/>
        </w:rPr>
        <w:t>。</w:t>
      </w:r>
    </w:p>
    <w:p w14:paraId="2ED205D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依据《</w:t>
      </w:r>
      <w:r>
        <w:rPr>
          <w:rFonts w:hint="eastAsia" w:ascii="仿宋" w:hAnsi="仿宋" w:eastAsia="仿宋" w:cs="仿宋"/>
          <w:color w:val="auto"/>
          <w:sz w:val="24"/>
          <w:szCs w:val="24"/>
          <w:highlight w:val="none"/>
          <w:lang w:eastAsia="zh-CN"/>
        </w:rPr>
        <w:t>中华人民共和国民法典</w:t>
      </w:r>
      <w:r>
        <w:rPr>
          <w:rFonts w:hint="eastAsia" w:ascii="仿宋" w:hAnsi="仿宋" w:eastAsia="仿宋" w:cs="仿宋"/>
          <w:color w:val="auto"/>
          <w:sz w:val="24"/>
          <w:szCs w:val="24"/>
          <w:highlight w:val="none"/>
        </w:rPr>
        <w:t>》和《中华人民共和国政府采购法》，经双方协商按下述条款和条件签署本合同。</w:t>
      </w:r>
    </w:p>
    <w:p w14:paraId="64688D7D">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en-US" w:eastAsia="zh-CN"/>
        </w:rPr>
        <w:t>工程</w:t>
      </w:r>
      <w:r>
        <w:rPr>
          <w:rFonts w:hint="eastAsia" w:ascii="仿宋" w:hAnsi="仿宋" w:eastAsia="仿宋" w:cs="仿宋"/>
          <w:color w:val="auto"/>
          <w:sz w:val="24"/>
          <w:szCs w:val="24"/>
          <w:highlight w:val="none"/>
        </w:rPr>
        <w:t>内容</w:t>
      </w:r>
    </w:p>
    <w:p w14:paraId="455BC20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为改善铜川市实验中学鱼池校区办学条</w:t>
      </w:r>
      <w:r>
        <w:rPr>
          <w:rFonts w:hint="eastAsia" w:ascii="仿宋" w:hAnsi="仿宋" w:eastAsia="仿宋" w:cs="仿宋"/>
          <w:color w:val="auto"/>
          <w:sz w:val="24"/>
          <w:szCs w:val="24"/>
          <w:highlight w:val="none"/>
          <w:lang w:eastAsia="zh-CN"/>
        </w:rPr>
        <w:t>件，提升办学质量，本次建设内容为对</w:t>
      </w:r>
      <w:r>
        <w:rPr>
          <w:rFonts w:hint="eastAsia" w:ascii="仿宋" w:hAnsi="仿宋" w:eastAsia="仿宋" w:cs="仿宋"/>
          <w:color w:val="auto"/>
          <w:sz w:val="24"/>
          <w:szCs w:val="24"/>
          <w:highlight w:val="none"/>
          <w:lang w:val="en-US" w:eastAsia="zh-CN"/>
        </w:rPr>
        <w:t>铜川市实验中学鱼池校区</w:t>
      </w:r>
      <w:r>
        <w:rPr>
          <w:rFonts w:hint="eastAsia" w:ascii="仿宋" w:hAnsi="仿宋" w:eastAsia="仿宋" w:cs="仿宋"/>
          <w:color w:val="auto"/>
          <w:sz w:val="24"/>
          <w:szCs w:val="24"/>
          <w:highlight w:val="none"/>
          <w:lang w:eastAsia="zh-CN"/>
        </w:rPr>
        <w:t>校园进行维修改造。</w:t>
      </w:r>
      <w:r>
        <w:rPr>
          <w:rFonts w:hint="eastAsia" w:ascii="仿宋" w:hAnsi="仿宋" w:eastAsia="仿宋" w:cs="仿宋"/>
          <w:color w:val="auto"/>
          <w:sz w:val="24"/>
          <w:szCs w:val="24"/>
          <w:highlight w:val="none"/>
          <w:lang w:val="en-US" w:eastAsia="zh-CN"/>
        </w:rPr>
        <w:t>包括新建大门口卫生间、校园大门和化粪池；改造维修校舍，提升教育教学设施配套等。</w:t>
      </w:r>
      <w:r>
        <w:rPr>
          <w:rFonts w:hint="eastAsia" w:ascii="仿宋" w:hAnsi="仿宋" w:eastAsia="仿宋" w:cs="仿宋"/>
          <w:color w:val="auto"/>
          <w:sz w:val="24"/>
          <w:szCs w:val="24"/>
          <w:highlight w:val="none"/>
        </w:rPr>
        <w:t>具体详见工程量清单所包含的内容。</w:t>
      </w:r>
    </w:p>
    <w:p w14:paraId="3E9DB61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二、合同价款</w:t>
      </w:r>
      <w:r>
        <w:rPr>
          <w:rFonts w:hint="eastAsia" w:ascii="仿宋" w:hAnsi="仿宋" w:eastAsia="仿宋" w:cs="仿宋"/>
          <w:color w:val="auto"/>
          <w:sz w:val="24"/>
          <w:szCs w:val="24"/>
          <w:highlight w:val="none"/>
          <w:lang w:val="en-US" w:eastAsia="zh-CN"/>
        </w:rPr>
        <w:t>及</w:t>
      </w:r>
      <w:r>
        <w:rPr>
          <w:rFonts w:hint="eastAsia" w:ascii="仿宋" w:hAnsi="仿宋" w:eastAsia="仿宋" w:cs="仿宋"/>
          <w:color w:val="auto"/>
          <w:sz w:val="24"/>
          <w:szCs w:val="24"/>
          <w:highlight w:val="none"/>
        </w:rPr>
        <w:t>结算方式</w:t>
      </w:r>
    </w:p>
    <w:p w14:paraId="31748B95">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合同价款</w:t>
      </w:r>
    </w:p>
    <w:p w14:paraId="07905279">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val="en-US" w:eastAsia="zh-CN"/>
        </w:rPr>
        <w:t>暂定总价</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元）</w:t>
      </w:r>
    </w:p>
    <w:p w14:paraId="4CAA4433">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计价方式：</w:t>
      </w:r>
      <w:r>
        <w:rPr>
          <w:rFonts w:hint="eastAsia" w:ascii="仿宋" w:hAnsi="仿宋" w:eastAsia="仿宋" w:cs="仿宋"/>
          <w:color w:val="auto"/>
          <w:sz w:val="24"/>
          <w:szCs w:val="24"/>
          <w:highlight w:val="none"/>
          <w:lang w:eastAsia="zh-CN"/>
        </w:rPr>
        <w:t>固定</w:t>
      </w:r>
      <w:r>
        <w:rPr>
          <w:rFonts w:hint="eastAsia" w:ascii="仿宋" w:hAnsi="仿宋" w:eastAsia="仿宋" w:cs="仿宋"/>
          <w:color w:val="auto"/>
          <w:sz w:val="24"/>
          <w:szCs w:val="24"/>
          <w:highlight w:val="none"/>
          <w:lang w:val="en-US" w:eastAsia="zh-CN"/>
        </w:rPr>
        <w:t>总价</w:t>
      </w:r>
      <w:r>
        <w:rPr>
          <w:rFonts w:hint="eastAsia" w:ascii="仿宋" w:hAnsi="仿宋" w:eastAsia="仿宋" w:cs="仿宋"/>
          <w:color w:val="auto"/>
          <w:sz w:val="24"/>
          <w:szCs w:val="24"/>
          <w:highlight w:val="none"/>
        </w:rPr>
        <w:t>。</w:t>
      </w:r>
    </w:p>
    <w:p w14:paraId="4C9DB7E0">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（二）结算方式</w:t>
      </w:r>
    </w:p>
    <w:p w14:paraId="609C571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）付款条件说明：</w:t>
      </w:r>
    </w:p>
    <w:p w14:paraId="20EF025E">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合同签订后，乙方向甲方提供合格的税务发票后20日内，甲方向乙方支付合同总金额的40%；项目交工且验收合格后，乙方向甲方提供合格的税务发票后20日内，甲方向乙方支付合同总金额的45%；乙方提交决算报告后，待市财政局决算评审报告完成后，乙方向甲方提供合格的税务发票后20日内支付剩余金额即财政决算总金额减去已支付金额。</w:t>
      </w:r>
    </w:p>
    <w:p w14:paraId="5B2FFC15">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en-US" w:eastAsia="zh-CN"/>
        </w:rPr>
        <w:t>工程地点</w:t>
      </w:r>
      <w:r>
        <w:rPr>
          <w:rFonts w:hint="eastAsia" w:ascii="仿宋" w:hAnsi="仿宋" w:eastAsia="仿宋" w:cs="仿宋"/>
          <w:color w:val="auto"/>
          <w:sz w:val="24"/>
          <w:szCs w:val="24"/>
          <w:highlight w:val="none"/>
        </w:rPr>
        <w:t>及工期</w:t>
      </w:r>
    </w:p>
    <w:p w14:paraId="7BEA3154">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en-US" w:eastAsia="zh-CN"/>
        </w:rPr>
        <w:t>工程地点：铜川市实验中学鱼池校区</w:t>
      </w:r>
    </w:p>
    <w:p w14:paraId="1EA94B9C">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（二）工期：</w:t>
      </w:r>
      <w:r>
        <w:rPr>
          <w:rFonts w:hint="eastAsia" w:ascii="仿宋" w:hAnsi="仿宋" w:eastAsia="仿宋" w:cs="仿宋"/>
          <w:color w:val="auto"/>
          <w:sz w:val="24"/>
          <w:szCs w:val="24"/>
          <w:highlight w:val="none"/>
          <w:u w:val="single"/>
          <w:lang w:val="en-US" w:eastAsia="zh-CN"/>
        </w:rPr>
        <w:t xml:space="preserve">          </w:t>
      </w:r>
    </w:p>
    <w:p w14:paraId="269F183E">
      <w:pPr>
        <w:spacing w:line="360" w:lineRule="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四、质量保证</w:t>
      </w:r>
    </w:p>
    <w:p w14:paraId="309A517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en-US" w:eastAsia="zh-CN"/>
        </w:rPr>
        <w:t>质量保修期：项目竣工验收合格之日起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p>
    <w:p w14:paraId="3E4E92B5">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lang w:val="zh-CN"/>
        </w:rPr>
        <w:t>）工程质量</w:t>
      </w:r>
      <w:bookmarkStart w:id="143" w:name="_GoBack"/>
      <w:r>
        <w:rPr>
          <w:rFonts w:hint="eastAsia" w:ascii="仿宋" w:hAnsi="仿宋" w:eastAsia="仿宋" w:cs="仿宋"/>
          <w:color w:val="auto"/>
          <w:sz w:val="24"/>
          <w:szCs w:val="24"/>
          <w:highlight w:val="none"/>
          <w:lang w:val="zh-CN"/>
        </w:rPr>
        <w:t>符合国家有关规范，确保达到合格</w:t>
      </w:r>
      <w:bookmarkEnd w:id="143"/>
      <w:r>
        <w:rPr>
          <w:rFonts w:hint="eastAsia" w:ascii="仿宋" w:hAnsi="仿宋" w:eastAsia="仿宋" w:cs="仿宋"/>
          <w:color w:val="auto"/>
          <w:sz w:val="24"/>
          <w:szCs w:val="24"/>
          <w:highlight w:val="none"/>
          <w:lang w:val="zh-CN"/>
        </w:rPr>
        <w:t>。</w:t>
      </w:r>
    </w:p>
    <w:p w14:paraId="318D48E6">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其他要求</w:t>
      </w:r>
    </w:p>
    <w:p w14:paraId="4BFC18CE">
      <w:pPr>
        <w:spacing w:line="360" w:lineRule="auto"/>
        <w:ind w:firstLine="480" w:firstLineChars="200"/>
        <w:rPr>
          <w:rFonts w:hint="eastAsia" w:ascii="仿宋" w:hAnsi="仿宋" w:eastAsia="仿宋" w:cs="仿宋"/>
          <w:color w:val="auto"/>
          <w:sz w:val="24"/>
          <w:szCs w:val="24"/>
          <w:highlight w:val="none"/>
          <w:lang w:val="zh-CN"/>
        </w:rPr>
      </w:pPr>
      <w:bookmarkStart w:id="2" w:name="_Toc482201972"/>
      <w:r>
        <w:rPr>
          <w:rFonts w:hint="eastAsia" w:ascii="仿宋" w:hAnsi="仿宋" w:eastAsia="仿宋" w:cs="仿宋"/>
          <w:color w:val="auto"/>
          <w:sz w:val="24"/>
          <w:szCs w:val="24"/>
          <w:highlight w:val="none"/>
          <w:lang w:val="zh-CN"/>
        </w:rPr>
        <w:t>1</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lang w:val="zh-CN"/>
        </w:rPr>
        <w:t>必须依据磋商要求，按照有关规范施工，确保工程优良，一次性验收交接。</w:t>
      </w:r>
    </w:p>
    <w:p w14:paraId="0046582C">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选用的主材、设备、辅材必须保证质量可靠、进货渠道正常，符合国家环保等相关标准，满足施工要求，明确其品牌、规格、型号、产地，并附鉴定证书，对主要设备材料必须先提交样品，经认质后，方可订货，不得使用未经检验或不合格的设备、材料，若发生此种情况，将追究相关人员责任，并赔偿由此造成的一切经济损失。</w:t>
      </w:r>
    </w:p>
    <w:p w14:paraId="2EFB4978">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质量保证期为各供应商承诺的期限。</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lang w:val="zh-CN"/>
        </w:rPr>
        <w:t>的售后服务要完善、可靠、及时，并派遣相关技术人员配合采购人检查、维修。</w:t>
      </w:r>
      <w:bookmarkEnd w:id="2"/>
      <w:r>
        <w:rPr>
          <w:rFonts w:hint="eastAsia" w:ascii="仿宋" w:hAnsi="仿宋" w:eastAsia="仿宋" w:cs="仿宋"/>
          <w:color w:val="auto"/>
          <w:sz w:val="24"/>
          <w:szCs w:val="24"/>
          <w:highlight w:val="none"/>
          <w:lang w:val="zh-CN"/>
        </w:rPr>
        <w:t xml:space="preserve"> </w:t>
      </w:r>
    </w:p>
    <w:p w14:paraId="032EE11E">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五、双方责任</w:t>
      </w:r>
      <w:r>
        <w:rPr>
          <w:rFonts w:hint="eastAsia" w:ascii="仿宋" w:hAnsi="仿宋" w:eastAsia="仿宋" w:cs="仿宋"/>
          <w:color w:val="auto"/>
          <w:sz w:val="24"/>
          <w:szCs w:val="24"/>
          <w:highlight w:val="none"/>
          <w:lang w:val="en-US" w:eastAsia="zh-CN"/>
        </w:rPr>
        <w:t>与义务</w:t>
      </w:r>
    </w:p>
    <w:p w14:paraId="7A3BC8AF">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（一）甲方责任</w:t>
      </w:r>
      <w:r>
        <w:rPr>
          <w:rFonts w:hint="eastAsia" w:ascii="仿宋" w:hAnsi="仿宋" w:eastAsia="仿宋" w:cs="仿宋"/>
          <w:color w:val="auto"/>
          <w:sz w:val="24"/>
          <w:szCs w:val="24"/>
          <w:highlight w:val="none"/>
          <w:lang w:val="en-US" w:eastAsia="zh-CN"/>
        </w:rPr>
        <w:t>与义务</w:t>
      </w:r>
    </w:p>
    <w:p w14:paraId="52B48ED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甲方负责施工场地的提供，排除施工障碍的协调。</w:t>
      </w:r>
    </w:p>
    <w:p w14:paraId="5746B9C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组织工程结算的审定等工作。</w:t>
      </w:r>
    </w:p>
    <w:p w14:paraId="7015775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对工程进度、质量进行监督检查。</w:t>
      </w:r>
    </w:p>
    <w:p w14:paraId="761E2AB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组织有关单位对工程进行竣工验收。</w:t>
      </w:r>
    </w:p>
    <w:p w14:paraId="5DAA459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按时支付工程款。</w:t>
      </w:r>
    </w:p>
    <w:p w14:paraId="6821577D">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（二）乙方责任</w:t>
      </w:r>
      <w:r>
        <w:rPr>
          <w:rFonts w:hint="eastAsia" w:ascii="仿宋" w:hAnsi="仿宋" w:eastAsia="仿宋" w:cs="仿宋"/>
          <w:color w:val="auto"/>
          <w:sz w:val="24"/>
          <w:szCs w:val="24"/>
          <w:highlight w:val="none"/>
          <w:lang w:val="en-US" w:eastAsia="zh-CN"/>
        </w:rPr>
        <w:t>与义务</w:t>
      </w:r>
    </w:p>
    <w:p w14:paraId="4C427AC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负责办理完成项目使用审批手续，负责工程安全文明施工、承担一切风险，满足甲方工程的需要。保证甲方正式投入使用，再无其他费用发生。</w:t>
      </w:r>
    </w:p>
    <w:p w14:paraId="220C220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w:t>
      </w:r>
    </w:p>
    <w:p w14:paraId="387B3E5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按照</w:t>
      </w:r>
      <w:r>
        <w:rPr>
          <w:rFonts w:hint="eastAsia" w:ascii="仿宋" w:hAnsi="仿宋" w:eastAsia="仿宋" w:cs="仿宋"/>
          <w:color w:val="auto"/>
          <w:sz w:val="24"/>
          <w:szCs w:val="24"/>
          <w:highlight w:val="none"/>
          <w:lang w:val="en-US" w:eastAsia="zh-CN"/>
        </w:rPr>
        <w:t>相关要求</w:t>
      </w:r>
      <w:r>
        <w:rPr>
          <w:rFonts w:hint="eastAsia" w:ascii="仿宋" w:hAnsi="仿宋" w:eastAsia="仿宋" w:cs="仿宋"/>
          <w:color w:val="auto"/>
          <w:sz w:val="24"/>
          <w:szCs w:val="24"/>
          <w:highlight w:val="none"/>
        </w:rPr>
        <w:t>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43AE069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乙方提供的主要材料、设备必须有质量合格证等相关</w:t>
      </w:r>
      <w:r>
        <w:rPr>
          <w:rFonts w:hint="eastAsia" w:ascii="仿宋" w:hAnsi="仿宋" w:eastAsia="仿宋" w:cs="仿宋"/>
          <w:color w:val="auto"/>
          <w:sz w:val="24"/>
          <w:szCs w:val="24"/>
          <w:highlight w:val="none"/>
          <w:lang w:val="en-US" w:eastAsia="zh-CN"/>
        </w:rPr>
        <w:t>材料</w:t>
      </w:r>
      <w:r>
        <w:rPr>
          <w:rFonts w:hint="eastAsia" w:ascii="仿宋" w:hAnsi="仿宋" w:eastAsia="仿宋" w:cs="仿宋"/>
          <w:color w:val="auto"/>
          <w:sz w:val="24"/>
          <w:szCs w:val="24"/>
          <w:highlight w:val="none"/>
        </w:rPr>
        <w:t>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52D702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542D63E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采取有效的安全保障措施，确保施工安全，包括悬挂警示标牌、装设围栏、配备安全人员等，并承担事故的全部费用和责任。</w:t>
      </w:r>
    </w:p>
    <w:p w14:paraId="40E668B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本工程不得转包。</w:t>
      </w:r>
    </w:p>
    <w:p w14:paraId="3B2B1B4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六、组成合同的文件</w:t>
      </w:r>
    </w:p>
    <w:p w14:paraId="028AC09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5C3E43E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37D9305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21A2B5E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5762C1A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磋商响应文件及最终磋商</w:t>
      </w:r>
      <w:r>
        <w:rPr>
          <w:rFonts w:hint="eastAsia" w:ascii="仿宋" w:hAnsi="仿宋" w:eastAsia="仿宋" w:cs="仿宋"/>
          <w:color w:val="auto"/>
          <w:sz w:val="24"/>
          <w:szCs w:val="24"/>
          <w:highlight w:val="none"/>
          <w:lang w:eastAsia="zh-CN"/>
        </w:rPr>
        <w:t>报价</w:t>
      </w:r>
      <w:r>
        <w:rPr>
          <w:rFonts w:hint="eastAsia" w:ascii="仿宋" w:hAnsi="仿宋" w:eastAsia="仿宋" w:cs="仿宋"/>
          <w:color w:val="auto"/>
          <w:sz w:val="24"/>
          <w:szCs w:val="24"/>
          <w:highlight w:val="none"/>
        </w:rPr>
        <w:t>表</w:t>
      </w:r>
    </w:p>
    <w:p w14:paraId="2D2FE44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8723058">
      <w:pPr>
        <w:spacing w:line="360" w:lineRule="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七、验收</w:t>
      </w:r>
    </w:p>
    <w:p w14:paraId="16A62E07">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rPr>
        <w:t>主材到现场后，由甲方对其进行验收，确认材料的产地、规格、数量。</w:t>
      </w:r>
    </w:p>
    <w:p w14:paraId="5FC9C7E7">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乙方工程完工后，进行自检，合格后准备验收文件，并书面通知甲方。</w:t>
      </w:r>
    </w:p>
    <w:p w14:paraId="0B498FEF">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甲方确认乙方的自检内容，验收合格作为工程的最终认可。</w:t>
      </w:r>
    </w:p>
    <w:p w14:paraId="360025B7">
      <w:pPr>
        <w:pStyle w:val="2"/>
        <w:spacing w:line="360" w:lineRule="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八、违约责任</w:t>
      </w:r>
    </w:p>
    <w:p w14:paraId="4B3BDCAF">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lang w:val="zh-CN" w:eastAsia="zh-CN"/>
        </w:rPr>
        <w:t>按《中华人民共和国民法典》、《中华人民共和国政府采购法》的相关条款执行。</w:t>
      </w:r>
    </w:p>
    <w:p w14:paraId="1DA904D0">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lang w:val="zh-CN" w:eastAsia="zh-CN"/>
        </w:rPr>
        <w:t>未按合同或采购文件要求执行，或质量不能满足甲方要求的，甲方有权终止合同，甚至对乙方违约行为进行追究。</w:t>
      </w:r>
    </w:p>
    <w:p w14:paraId="4B0DB670">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（三）双方违约情形</w:t>
      </w:r>
    </w:p>
    <w:p w14:paraId="2A03AA07">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1.甲方违约情形：</w:t>
      </w:r>
    </w:p>
    <w:p w14:paraId="7ECBCA06">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（1）甲方不按合同约定支付工程款，导致施工无法进行；</w:t>
      </w:r>
    </w:p>
    <w:p w14:paraId="0146D721">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（2）甲方不履行合同义务或不按合同约定履行义务的其他情况。</w:t>
      </w:r>
    </w:p>
    <w:p w14:paraId="64F3E311">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甲方承担违约责任，赔偿因其违约给乙方造成的经济损失，顺延延误的工期。双方约定甲方赔偿乙方损失的计算方法或者甲方应当支付违约金的数额和计算方法。</w:t>
      </w:r>
    </w:p>
    <w:p w14:paraId="15EA336C">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04414DF1">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2.乙方违约情形：</w:t>
      </w:r>
    </w:p>
    <w:p w14:paraId="28A63E84">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（1）因乙方原因不能按照协议书约定的竣工日期或工程师同意顺延的工期竣工；</w:t>
      </w:r>
    </w:p>
    <w:p w14:paraId="49E6442F">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（2）因乙方原因工程质量达不到协议书约定的质量标准；</w:t>
      </w:r>
    </w:p>
    <w:p w14:paraId="08E3C745">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（3）乙方不履行合同义务或不按合同约定履行义务的其他情况。</w:t>
      </w:r>
    </w:p>
    <w:p w14:paraId="61EA4569">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乙方</w:t>
      </w:r>
      <w:r>
        <w:rPr>
          <w:rFonts w:hint="default" w:ascii="仿宋" w:hAnsi="仿宋" w:eastAsia="仿宋" w:cs="仿宋"/>
          <w:color w:val="auto"/>
          <w:sz w:val="24"/>
          <w:szCs w:val="24"/>
          <w:highlight w:val="none"/>
          <w:lang w:val="en-US" w:eastAsia="zh-CN"/>
        </w:rPr>
        <w:t>承担违约责任，赔偿因其违约给</w:t>
      </w:r>
      <w:r>
        <w:rPr>
          <w:rFonts w:hint="eastAsia" w:ascii="仿宋" w:hAnsi="仿宋" w:eastAsia="仿宋" w:cs="仿宋"/>
          <w:color w:val="auto"/>
          <w:sz w:val="24"/>
          <w:szCs w:val="24"/>
          <w:highlight w:val="none"/>
          <w:lang w:val="en-US" w:eastAsia="zh-CN"/>
        </w:rPr>
        <w:t>甲方</w:t>
      </w:r>
      <w:r>
        <w:rPr>
          <w:rFonts w:hint="default" w:ascii="仿宋" w:hAnsi="仿宋" w:eastAsia="仿宋" w:cs="仿宋"/>
          <w:color w:val="auto"/>
          <w:sz w:val="24"/>
          <w:szCs w:val="24"/>
          <w:highlight w:val="none"/>
          <w:lang w:val="en-US" w:eastAsia="zh-CN"/>
        </w:rPr>
        <w:t>造成的损失。双方约定</w:t>
      </w:r>
      <w:r>
        <w:rPr>
          <w:rFonts w:hint="eastAsia" w:ascii="仿宋" w:hAnsi="仿宋" w:eastAsia="仿宋" w:cs="仿宋"/>
          <w:color w:val="auto"/>
          <w:sz w:val="24"/>
          <w:szCs w:val="24"/>
          <w:highlight w:val="none"/>
          <w:lang w:val="en-US" w:eastAsia="zh-CN"/>
        </w:rPr>
        <w:t>乙方</w:t>
      </w:r>
      <w:r>
        <w:rPr>
          <w:rFonts w:hint="default" w:ascii="仿宋" w:hAnsi="仿宋" w:eastAsia="仿宋" w:cs="仿宋"/>
          <w:color w:val="auto"/>
          <w:sz w:val="24"/>
          <w:szCs w:val="24"/>
          <w:highlight w:val="none"/>
          <w:lang w:val="en-US" w:eastAsia="zh-CN"/>
        </w:rPr>
        <w:t>赔偿</w:t>
      </w:r>
      <w:r>
        <w:rPr>
          <w:rFonts w:hint="eastAsia" w:ascii="仿宋" w:hAnsi="仿宋" w:eastAsia="仿宋" w:cs="仿宋"/>
          <w:color w:val="auto"/>
          <w:sz w:val="24"/>
          <w:szCs w:val="24"/>
          <w:highlight w:val="none"/>
          <w:lang w:val="en-US" w:eastAsia="zh-CN"/>
        </w:rPr>
        <w:t>甲方</w:t>
      </w:r>
      <w:r>
        <w:rPr>
          <w:rFonts w:hint="default" w:ascii="仿宋" w:hAnsi="仿宋" w:eastAsia="仿宋" w:cs="仿宋"/>
          <w:color w:val="auto"/>
          <w:sz w:val="24"/>
          <w:szCs w:val="24"/>
          <w:highlight w:val="none"/>
          <w:lang w:val="en-US" w:eastAsia="zh-CN"/>
        </w:rPr>
        <w:t>损失的计算方法或者</w:t>
      </w:r>
      <w:r>
        <w:rPr>
          <w:rFonts w:hint="eastAsia" w:ascii="仿宋" w:hAnsi="仿宋" w:eastAsia="仿宋" w:cs="仿宋"/>
          <w:color w:val="auto"/>
          <w:sz w:val="24"/>
          <w:szCs w:val="24"/>
          <w:highlight w:val="none"/>
          <w:lang w:val="en-US" w:eastAsia="zh-CN"/>
        </w:rPr>
        <w:t>乙方</w:t>
      </w:r>
      <w:r>
        <w:rPr>
          <w:rFonts w:hint="default" w:ascii="仿宋" w:hAnsi="仿宋" w:eastAsia="仿宋" w:cs="仿宋"/>
          <w:color w:val="auto"/>
          <w:sz w:val="24"/>
          <w:szCs w:val="24"/>
          <w:highlight w:val="none"/>
          <w:lang w:val="en-US" w:eastAsia="zh-CN"/>
        </w:rPr>
        <w:t>应当支付违约金的数额和计算方法。</w:t>
      </w:r>
    </w:p>
    <w:p w14:paraId="56B3BD9B">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58231758">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r>
        <w:rPr>
          <w:rFonts w:hint="default" w:ascii="仿宋" w:hAnsi="仿宋" w:eastAsia="仿宋" w:cs="仿宋"/>
          <w:color w:val="auto"/>
          <w:sz w:val="24"/>
          <w:szCs w:val="24"/>
          <w:highlight w:val="none"/>
          <w:lang w:val="en-US" w:eastAsia="zh-CN"/>
        </w:rPr>
        <w:t>一方违约后，另一方要求违约方继续履行合同时，违约方承担上述违约责任后仍应继续履行合同。</w:t>
      </w:r>
    </w:p>
    <w:p w14:paraId="33752419">
      <w:pPr>
        <w:spacing w:line="360" w:lineRule="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九、争议的解决方式</w:t>
      </w:r>
    </w:p>
    <w:p w14:paraId="679501F8">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本合同在履行中或者在保修期内发生争议，由双方协商解决；也可以由甲方当地主管部门调解。双方不愿意通过协商、调解解决或协商、调解不成的，任何一方均可向西安仲裁委员会提请仲裁。</w:t>
      </w:r>
    </w:p>
    <w:p w14:paraId="2E5767ED">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zh-CN" w:eastAsia="zh-CN"/>
        </w:rPr>
        <w:t>十、</w:t>
      </w:r>
      <w:r>
        <w:rPr>
          <w:rFonts w:hint="eastAsia" w:ascii="仿宋" w:hAnsi="仿宋" w:eastAsia="仿宋" w:cs="仿宋"/>
          <w:color w:val="auto"/>
          <w:sz w:val="24"/>
          <w:szCs w:val="24"/>
          <w:highlight w:val="none"/>
          <w:lang w:val="en-US" w:eastAsia="zh-CN"/>
        </w:rPr>
        <w:t>监督和管理</w:t>
      </w:r>
    </w:p>
    <w:p w14:paraId="7A99D5D7">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1.政府采购合同履行中，甲方需追加与合同标的相同的货物、工程或者服务的，在不改变合同其他条款的前提下，可以与乙方协商签订补充合同，但所有补充合同的采购金额不得超过原合同采购金额的</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val="zh-CN" w:eastAsia="zh-CN"/>
        </w:rPr>
        <w:t>。</w:t>
      </w:r>
    </w:p>
    <w:p w14:paraId="0520BB23">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2.甲乙双方均应自觉配合有关监督管理部门对合同履行情况的监督检查，如实反映情况，提供有关资料；否则，将对有关单位、当事人按照有关规定予以处罚。</w:t>
      </w:r>
    </w:p>
    <w:p w14:paraId="6335CACD">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十一、</w:t>
      </w:r>
      <w:r>
        <w:rPr>
          <w:rFonts w:hint="eastAsia" w:ascii="仿宋" w:hAnsi="仿宋" w:eastAsia="仿宋" w:cs="仿宋"/>
          <w:color w:val="auto"/>
          <w:sz w:val="24"/>
          <w:szCs w:val="24"/>
          <w:highlight w:val="none"/>
          <w:lang w:val="en-US" w:eastAsia="zh-CN"/>
        </w:rPr>
        <w:fldChar w:fldCharType="begin"/>
      </w:r>
      <w:r>
        <w:rPr>
          <w:rFonts w:hint="eastAsia" w:ascii="仿宋" w:hAnsi="仿宋" w:eastAsia="仿宋" w:cs="仿宋"/>
          <w:color w:val="auto"/>
          <w:sz w:val="24"/>
          <w:szCs w:val="24"/>
          <w:highlight w:val="none"/>
          <w:lang w:val="en-US" w:eastAsia="zh-CN"/>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color w:val="auto"/>
          <w:sz w:val="24"/>
          <w:szCs w:val="24"/>
          <w:highlight w:val="none"/>
          <w:lang w:val="en-US" w:eastAsia="zh-CN"/>
        </w:rPr>
        <w:fldChar w:fldCharType="separate"/>
      </w:r>
      <w:r>
        <w:rPr>
          <w:rFonts w:hint="eastAsia" w:ascii="仿宋" w:hAnsi="仿宋" w:eastAsia="仿宋" w:cs="仿宋"/>
          <w:color w:val="auto"/>
          <w:sz w:val="24"/>
          <w:szCs w:val="24"/>
          <w:highlight w:val="none"/>
          <w:lang w:val="en-US" w:eastAsia="zh-CN"/>
        </w:rPr>
        <w:t>无效合同</w:t>
      </w:r>
      <w:r>
        <w:rPr>
          <w:rFonts w:hint="eastAsia" w:ascii="仿宋" w:hAnsi="仿宋" w:eastAsia="仿宋" w:cs="仿宋"/>
          <w:color w:val="auto"/>
          <w:sz w:val="24"/>
          <w:szCs w:val="24"/>
          <w:highlight w:val="none"/>
          <w:lang w:val="en-US" w:eastAsia="zh-CN"/>
        </w:rPr>
        <w:fldChar w:fldCharType="end"/>
      </w:r>
    </w:p>
    <w:p w14:paraId="1C19F11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甲乙双方如因违反政府采购法及相关法律法规的规定，被宣告</w:t>
      </w: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color w:val="auto"/>
          <w:sz w:val="24"/>
          <w:szCs w:val="24"/>
          <w:highlight w:val="none"/>
          <w:lang w:eastAsia="zh-CN"/>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color w:val="auto"/>
          <w:sz w:val="24"/>
          <w:szCs w:val="24"/>
          <w:highlight w:val="none"/>
          <w:lang w:eastAsia="zh-CN"/>
        </w:rPr>
        <w:fldChar w:fldCharType="separate"/>
      </w:r>
      <w:r>
        <w:rPr>
          <w:rFonts w:hint="eastAsia" w:ascii="仿宋" w:hAnsi="仿宋" w:eastAsia="仿宋" w:cs="仿宋"/>
          <w:color w:val="auto"/>
          <w:sz w:val="24"/>
          <w:szCs w:val="24"/>
          <w:highlight w:val="none"/>
          <w:lang w:eastAsia="zh-CN"/>
        </w:rPr>
        <w:t>合同无效</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的，一切责任概由过错方自行承担。</w:t>
      </w:r>
    </w:p>
    <w:p w14:paraId="33B09DA8">
      <w:pPr>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十二、</w:t>
      </w:r>
      <w:r>
        <w:rPr>
          <w:rFonts w:hint="eastAsia" w:ascii="仿宋" w:hAnsi="仿宋" w:eastAsia="仿宋" w:cs="仿宋"/>
          <w:color w:val="auto"/>
          <w:sz w:val="24"/>
          <w:szCs w:val="24"/>
          <w:highlight w:val="none"/>
          <w:lang w:val="en-US" w:eastAsia="zh-CN"/>
        </w:rPr>
        <w:t>其它补充事宜：</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2E417A70">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十三、附则</w:t>
      </w:r>
    </w:p>
    <w:p w14:paraId="2E18626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1、本合同未尽事宜，双方共同协商达成补充协议，补充协议和附件与本合同具有同等法律效力。</w:t>
      </w:r>
    </w:p>
    <w:p w14:paraId="74833EA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份,甲乙双方各执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p>
    <w:p w14:paraId="5BC54F86">
      <w:pPr>
        <w:spacing w:line="360" w:lineRule="auto"/>
        <w:ind w:firstLine="480" w:firstLineChars="200"/>
        <w:rPr>
          <w:rFonts w:hint="eastAsia" w:ascii="仿宋" w:hAnsi="仿宋" w:eastAsia="仿宋" w:cs="仿宋"/>
          <w:color w:val="auto"/>
          <w:sz w:val="21"/>
          <w:highlight w:val="none"/>
        </w:rPr>
      </w:pPr>
      <w:r>
        <w:rPr>
          <w:rFonts w:hint="eastAsia" w:ascii="仿宋" w:hAnsi="仿宋" w:eastAsia="仿宋" w:cs="仿宋"/>
          <w:color w:val="auto"/>
          <w:sz w:val="24"/>
          <w:szCs w:val="24"/>
          <w:highlight w:val="none"/>
        </w:rPr>
        <w:t>3、本合同自双方签字盖章之日起生效。</w:t>
      </w:r>
    </w:p>
    <w:p w14:paraId="4FE6CC79">
      <w:pPr>
        <w:rPr>
          <w:rFonts w:hint="eastAsia" w:ascii="仿宋" w:hAnsi="仿宋" w:eastAsia="仿宋" w:cs="仿宋"/>
          <w:color w:val="auto"/>
          <w:sz w:val="21"/>
          <w:highlight w:val="none"/>
        </w:rPr>
      </w:pPr>
      <w:r>
        <w:rPr>
          <w:rFonts w:hint="eastAsia" w:ascii="仿宋" w:hAnsi="仿宋" w:eastAsia="仿宋" w:cs="仿宋"/>
          <w:color w:val="auto"/>
          <w:sz w:val="21"/>
          <w:highlight w:val="none"/>
        </w:rPr>
        <w:br w:type="page"/>
      </w:r>
    </w:p>
    <w:p w14:paraId="4EC63E1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color w:val="auto"/>
          <w:sz w:val="21"/>
          <w:highlight w:val="none"/>
        </w:rPr>
      </w:pPr>
      <w:r>
        <w:rPr>
          <w:rFonts w:hint="eastAsia" w:ascii="仿宋" w:hAnsi="仿宋" w:eastAsia="仿宋" w:cs="仿宋"/>
          <w:color w:val="auto"/>
          <w:sz w:val="21"/>
          <w:highlight w:val="none"/>
        </w:rPr>
        <w:t>（</w:t>
      </w:r>
      <w:r>
        <w:rPr>
          <w:rFonts w:hint="eastAsia" w:ascii="仿宋" w:hAnsi="仿宋" w:eastAsia="仿宋" w:cs="仿宋"/>
          <w:color w:val="auto"/>
          <w:sz w:val="21"/>
          <w:highlight w:val="none"/>
          <w:lang w:val="en-US" w:eastAsia="zh-CN"/>
        </w:rPr>
        <w:t>以下无正文</w:t>
      </w:r>
      <w:r>
        <w:rPr>
          <w:rFonts w:hint="eastAsia" w:ascii="仿宋" w:hAnsi="仿宋" w:eastAsia="仿宋" w:cs="仿宋"/>
          <w:color w:val="auto"/>
          <w:sz w:val="21"/>
          <w:highlight w:val="none"/>
        </w:rPr>
        <w:t>）</w:t>
      </w:r>
    </w:p>
    <w:tbl>
      <w:tblPr>
        <w:tblStyle w:val="6"/>
        <w:tblW w:w="8403" w:type="dxa"/>
        <w:jc w:val="center"/>
        <w:tblLayout w:type="fixed"/>
        <w:tblCellMar>
          <w:top w:w="0" w:type="dxa"/>
          <w:left w:w="108" w:type="dxa"/>
          <w:bottom w:w="0" w:type="dxa"/>
          <w:right w:w="108" w:type="dxa"/>
        </w:tblCellMar>
      </w:tblPr>
      <w:tblGrid>
        <w:gridCol w:w="4201"/>
        <w:gridCol w:w="4202"/>
      </w:tblGrid>
      <w:tr w14:paraId="035099B3">
        <w:tblPrEx>
          <w:tblCellMar>
            <w:top w:w="0" w:type="dxa"/>
            <w:left w:w="108" w:type="dxa"/>
            <w:bottom w:w="0" w:type="dxa"/>
            <w:right w:w="108" w:type="dxa"/>
          </w:tblCellMar>
        </w:tblPrEx>
        <w:trPr>
          <w:trHeight w:val="567" w:hRule="exact"/>
          <w:jc w:val="center"/>
        </w:trPr>
        <w:tc>
          <w:tcPr>
            <w:tcW w:w="4201" w:type="dxa"/>
            <w:noWrap/>
            <w:vAlign w:val="center"/>
          </w:tcPr>
          <w:p w14:paraId="5B384DAF">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甲  方</w:t>
            </w:r>
          </w:p>
        </w:tc>
        <w:tc>
          <w:tcPr>
            <w:tcW w:w="4202" w:type="dxa"/>
            <w:noWrap/>
            <w:vAlign w:val="center"/>
          </w:tcPr>
          <w:p w14:paraId="0BAE9DA8">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乙  方</w:t>
            </w:r>
          </w:p>
        </w:tc>
      </w:tr>
      <w:tr w14:paraId="19A6FA30">
        <w:tblPrEx>
          <w:tblCellMar>
            <w:top w:w="0" w:type="dxa"/>
            <w:left w:w="108" w:type="dxa"/>
            <w:bottom w:w="0" w:type="dxa"/>
            <w:right w:w="108" w:type="dxa"/>
          </w:tblCellMar>
        </w:tblPrEx>
        <w:trPr>
          <w:trHeight w:val="567" w:hRule="exact"/>
          <w:jc w:val="center"/>
        </w:trPr>
        <w:tc>
          <w:tcPr>
            <w:tcW w:w="4201" w:type="dxa"/>
            <w:noWrap/>
            <w:vAlign w:val="center"/>
          </w:tcPr>
          <w:p w14:paraId="393488E9">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（盖章）</w:t>
            </w:r>
          </w:p>
        </w:tc>
        <w:tc>
          <w:tcPr>
            <w:tcW w:w="4202" w:type="dxa"/>
            <w:noWrap/>
            <w:vAlign w:val="center"/>
          </w:tcPr>
          <w:p w14:paraId="70978AD9">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（盖章）</w:t>
            </w:r>
          </w:p>
        </w:tc>
      </w:tr>
      <w:tr w14:paraId="46FD41C6">
        <w:tblPrEx>
          <w:tblCellMar>
            <w:top w:w="0" w:type="dxa"/>
            <w:left w:w="108" w:type="dxa"/>
            <w:bottom w:w="0" w:type="dxa"/>
            <w:right w:w="108" w:type="dxa"/>
          </w:tblCellMar>
        </w:tblPrEx>
        <w:trPr>
          <w:trHeight w:val="567" w:hRule="exact"/>
          <w:jc w:val="center"/>
        </w:trPr>
        <w:tc>
          <w:tcPr>
            <w:tcW w:w="4201" w:type="dxa"/>
            <w:noWrap/>
            <w:vAlign w:val="center"/>
          </w:tcPr>
          <w:p w14:paraId="745853AA">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 xml:space="preserve">地址： </w:t>
            </w:r>
          </w:p>
        </w:tc>
        <w:tc>
          <w:tcPr>
            <w:tcW w:w="4202" w:type="dxa"/>
            <w:noWrap/>
            <w:vAlign w:val="center"/>
          </w:tcPr>
          <w:p w14:paraId="140A6652">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地址：</w:t>
            </w:r>
          </w:p>
        </w:tc>
      </w:tr>
      <w:tr w14:paraId="7920B7EF">
        <w:tblPrEx>
          <w:tblCellMar>
            <w:top w:w="0" w:type="dxa"/>
            <w:left w:w="108" w:type="dxa"/>
            <w:bottom w:w="0" w:type="dxa"/>
            <w:right w:w="108" w:type="dxa"/>
          </w:tblCellMar>
        </w:tblPrEx>
        <w:trPr>
          <w:trHeight w:val="567" w:hRule="exact"/>
          <w:jc w:val="center"/>
        </w:trPr>
        <w:tc>
          <w:tcPr>
            <w:tcW w:w="4201" w:type="dxa"/>
            <w:noWrap/>
            <w:vAlign w:val="center"/>
          </w:tcPr>
          <w:p w14:paraId="41288870">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邮编：</w:t>
            </w:r>
          </w:p>
        </w:tc>
        <w:tc>
          <w:tcPr>
            <w:tcW w:w="4202" w:type="dxa"/>
            <w:noWrap/>
            <w:vAlign w:val="center"/>
          </w:tcPr>
          <w:p w14:paraId="4EAF5721">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邮编：</w:t>
            </w:r>
          </w:p>
        </w:tc>
      </w:tr>
      <w:tr w14:paraId="2F4F9866">
        <w:tblPrEx>
          <w:tblCellMar>
            <w:top w:w="0" w:type="dxa"/>
            <w:left w:w="108" w:type="dxa"/>
            <w:bottom w:w="0" w:type="dxa"/>
            <w:right w:w="108" w:type="dxa"/>
          </w:tblCellMar>
        </w:tblPrEx>
        <w:trPr>
          <w:trHeight w:val="567" w:hRule="exact"/>
          <w:jc w:val="center"/>
        </w:trPr>
        <w:tc>
          <w:tcPr>
            <w:tcW w:w="4201" w:type="dxa"/>
            <w:noWrap/>
            <w:vAlign w:val="center"/>
          </w:tcPr>
          <w:p w14:paraId="7913A512">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法定代表人</w:t>
            </w:r>
            <w:r>
              <w:rPr>
                <w:rFonts w:hint="eastAsia" w:ascii="仿宋" w:hAnsi="仿宋" w:eastAsia="仿宋" w:cs="仿宋"/>
                <w:color w:val="auto"/>
                <w:sz w:val="21"/>
                <w:highlight w:val="none"/>
                <w:lang w:val="en-US" w:eastAsia="zh-CN"/>
              </w:rPr>
              <w:t>/</w:t>
            </w:r>
            <w:r>
              <w:rPr>
                <w:rFonts w:hint="eastAsia" w:ascii="仿宋" w:hAnsi="仿宋" w:eastAsia="仿宋" w:cs="仿宋"/>
                <w:color w:val="auto"/>
                <w:sz w:val="21"/>
                <w:highlight w:val="none"/>
              </w:rPr>
              <w:t>被授权</w:t>
            </w:r>
            <w:r>
              <w:rPr>
                <w:rFonts w:hint="eastAsia" w:ascii="仿宋" w:hAnsi="仿宋" w:eastAsia="仿宋" w:cs="仿宋"/>
                <w:color w:val="auto"/>
                <w:sz w:val="21"/>
                <w:highlight w:val="none"/>
                <w:lang w:val="en-US" w:eastAsia="zh-CN"/>
              </w:rPr>
              <w:t>人</w:t>
            </w:r>
            <w:r>
              <w:rPr>
                <w:rFonts w:hint="eastAsia" w:ascii="仿宋" w:hAnsi="仿宋" w:eastAsia="仿宋" w:cs="仿宋"/>
                <w:color w:val="auto"/>
                <w:sz w:val="21"/>
                <w:highlight w:val="none"/>
              </w:rPr>
              <w:t xml:space="preserve">： </w:t>
            </w:r>
          </w:p>
        </w:tc>
        <w:tc>
          <w:tcPr>
            <w:tcW w:w="4202" w:type="dxa"/>
            <w:noWrap/>
            <w:vAlign w:val="center"/>
          </w:tcPr>
          <w:p w14:paraId="723C8A89">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法定代表人</w:t>
            </w:r>
            <w:r>
              <w:rPr>
                <w:rFonts w:hint="eastAsia" w:ascii="仿宋" w:hAnsi="仿宋" w:eastAsia="仿宋" w:cs="仿宋"/>
                <w:color w:val="auto"/>
                <w:sz w:val="21"/>
                <w:highlight w:val="none"/>
                <w:lang w:val="en-US" w:eastAsia="zh-CN"/>
              </w:rPr>
              <w:t>/</w:t>
            </w:r>
            <w:r>
              <w:rPr>
                <w:rFonts w:hint="eastAsia" w:ascii="仿宋" w:hAnsi="仿宋" w:eastAsia="仿宋" w:cs="仿宋"/>
                <w:color w:val="auto"/>
                <w:sz w:val="21"/>
                <w:highlight w:val="none"/>
              </w:rPr>
              <w:t>被授权</w:t>
            </w:r>
            <w:r>
              <w:rPr>
                <w:rFonts w:hint="eastAsia" w:ascii="仿宋" w:hAnsi="仿宋" w:eastAsia="仿宋" w:cs="仿宋"/>
                <w:color w:val="auto"/>
                <w:sz w:val="21"/>
                <w:highlight w:val="none"/>
                <w:lang w:val="en-US" w:eastAsia="zh-CN"/>
              </w:rPr>
              <w:t>人</w:t>
            </w:r>
            <w:r>
              <w:rPr>
                <w:rFonts w:hint="eastAsia" w:ascii="仿宋" w:hAnsi="仿宋" w:eastAsia="仿宋" w:cs="仿宋"/>
                <w:color w:val="auto"/>
                <w:sz w:val="21"/>
                <w:highlight w:val="none"/>
              </w:rPr>
              <w:t>：</w:t>
            </w:r>
          </w:p>
        </w:tc>
      </w:tr>
      <w:tr w14:paraId="7109B0D7">
        <w:tblPrEx>
          <w:tblCellMar>
            <w:top w:w="0" w:type="dxa"/>
            <w:left w:w="108" w:type="dxa"/>
            <w:bottom w:w="0" w:type="dxa"/>
            <w:right w:w="108" w:type="dxa"/>
          </w:tblCellMar>
        </w:tblPrEx>
        <w:trPr>
          <w:trHeight w:val="567" w:hRule="exact"/>
          <w:jc w:val="center"/>
        </w:trPr>
        <w:tc>
          <w:tcPr>
            <w:tcW w:w="4201" w:type="dxa"/>
            <w:noWrap/>
            <w:vAlign w:val="center"/>
          </w:tcPr>
          <w:p w14:paraId="24BA8B51">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电话：</w:t>
            </w:r>
          </w:p>
        </w:tc>
        <w:tc>
          <w:tcPr>
            <w:tcW w:w="4202" w:type="dxa"/>
            <w:noWrap/>
            <w:vAlign w:val="center"/>
          </w:tcPr>
          <w:p w14:paraId="27F9254F">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电话：</w:t>
            </w:r>
          </w:p>
        </w:tc>
      </w:tr>
      <w:tr w14:paraId="50614803">
        <w:tblPrEx>
          <w:tblCellMar>
            <w:top w:w="0" w:type="dxa"/>
            <w:left w:w="108" w:type="dxa"/>
            <w:bottom w:w="0" w:type="dxa"/>
            <w:right w:w="108" w:type="dxa"/>
          </w:tblCellMar>
        </w:tblPrEx>
        <w:trPr>
          <w:trHeight w:val="567" w:hRule="exact"/>
          <w:jc w:val="center"/>
        </w:trPr>
        <w:tc>
          <w:tcPr>
            <w:tcW w:w="4201" w:type="dxa"/>
            <w:noWrap/>
            <w:vAlign w:val="center"/>
          </w:tcPr>
          <w:p w14:paraId="552811A2">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开户银行：</w:t>
            </w:r>
          </w:p>
        </w:tc>
        <w:tc>
          <w:tcPr>
            <w:tcW w:w="4202" w:type="dxa"/>
            <w:noWrap/>
            <w:vAlign w:val="center"/>
          </w:tcPr>
          <w:p w14:paraId="196F2978">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开户银行：</w:t>
            </w:r>
          </w:p>
        </w:tc>
      </w:tr>
      <w:tr w14:paraId="225985F6">
        <w:tblPrEx>
          <w:tblCellMar>
            <w:top w:w="0" w:type="dxa"/>
            <w:left w:w="108" w:type="dxa"/>
            <w:bottom w:w="0" w:type="dxa"/>
            <w:right w:w="108" w:type="dxa"/>
          </w:tblCellMar>
        </w:tblPrEx>
        <w:trPr>
          <w:trHeight w:val="567" w:hRule="exact"/>
          <w:jc w:val="center"/>
        </w:trPr>
        <w:tc>
          <w:tcPr>
            <w:tcW w:w="4201" w:type="dxa"/>
            <w:noWrap/>
            <w:vAlign w:val="center"/>
          </w:tcPr>
          <w:p w14:paraId="6C43E359">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日期：</w:t>
            </w:r>
          </w:p>
        </w:tc>
        <w:tc>
          <w:tcPr>
            <w:tcW w:w="4202" w:type="dxa"/>
            <w:noWrap/>
            <w:vAlign w:val="center"/>
          </w:tcPr>
          <w:p w14:paraId="4324A9B0">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日期：</w:t>
            </w:r>
          </w:p>
        </w:tc>
      </w:tr>
    </w:tbl>
    <w:p w14:paraId="6249D834">
      <w:pP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14:paraId="1A9C2381">
      <w:pP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附件1：</w:t>
      </w:r>
    </w:p>
    <w:p w14:paraId="57A7A150">
      <w:pPr>
        <w:pStyle w:val="3"/>
        <w:spacing w:after="240" w:afterLines="100" w:line="420" w:lineRule="exact"/>
        <w:ind w:firstLine="0" w:firstLineChars="0"/>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工程质量保修书</w:t>
      </w:r>
    </w:p>
    <w:p w14:paraId="7E4D61E0">
      <w:pPr>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甲方（全称）：</w:t>
      </w:r>
      <w:r>
        <w:rPr>
          <w:rFonts w:hint="eastAsia" w:ascii="仿宋" w:hAnsi="仿宋" w:eastAsia="仿宋" w:cs="仿宋"/>
          <w:color w:val="auto"/>
          <w:sz w:val="24"/>
          <w:szCs w:val="24"/>
          <w:highlight w:val="none"/>
          <w:u w:val="single"/>
        </w:rPr>
        <w:t xml:space="preserve">                         </w:t>
      </w:r>
    </w:p>
    <w:p w14:paraId="4C4FB0E8">
      <w:pPr>
        <w:spacing w:line="360" w:lineRule="auto"/>
        <w:ind w:firstLine="482" w:firstLineChars="200"/>
        <w:rPr>
          <w:rFonts w:hint="eastAsia" w:ascii="仿宋" w:hAnsi="仿宋" w:eastAsia="仿宋" w:cs="仿宋"/>
          <w:b/>
          <w:color w:val="auto"/>
          <w:sz w:val="24"/>
          <w:szCs w:val="24"/>
          <w:highlight w:val="none"/>
          <w:u w:val="single"/>
        </w:rPr>
      </w:pPr>
      <w:r>
        <w:rPr>
          <w:rFonts w:hint="eastAsia" w:ascii="仿宋" w:hAnsi="仿宋" w:eastAsia="仿宋" w:cs="仿宋"/>
          <w:b/>
          <w:color w:val="auto"/>
          <w:sz w:val="24"/>
          <w:szCs w:val="24"/>
          <w:highlight w:val="none"/>
        </w:rPr>
        <w:t>乙方（全称）：</w:t>
      </w:r>
      <w:r>
        <w:rPr>
          <w:rFonts w:hint="eastAsia" w:ascii="仿宋" w:hAnsi="仿宋" w:eastAsia="仿宋" w:cs="仿宋"/>
          <w:color w:val="auto"/>
          <w:sz w:val="24"/>
          <w:szCs w:val="24"/>
          <w:highlight w:val="none"/>
          <w:u w:val="single"/>
          <w:shd w:val="clear" w:color="auto" w:fill="FFFFFF"/>
        </w:rPr>
        <w:t xml:space="preserve">                         </w:t>
      </w:r>
    </w:p>
    <w:p w14:paraId="15F1EFA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为保证本项目工程在合理使用期限内正常使用，甲乙双方协商一致签订工程质量保修书。乙方在质量保修期内按照有关管理规定及双方约定承担工程质量保修责任，甲方在质量保修期内行使甲方的职责。</w:t>
      </w:r>
    </w:p>
    <w:p w14:paraId="58F3463D">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 xml:space="preserve">一、工程质量保修范围和内容 </w:t>
      </w:r>
    </w:p>
    <w:p w14:paraId="21B21BB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质量保修范围包括</w:t>
      </w:r>
      <w:r>
        <w:rPr>
          <w:rFonts w:hint="eastAsia" w:ascii="仿宋" w:hAnsi="仿宋" w:eastAsia="仿宋" w:cs="仿宋"/>
          <w:color w:val="auto"/>
          <w:sz w:val="24"/>
          <w:szCs w:val="24"/>
          <w:highlight w:val="none"/>
          <w:u w:val="single"/>
          <w:lang w:eastAsia="zh-CN"/>
        </w:rPr>
        <w:t>承包范围以内的所有工程。</w:t>
      </w:r>
    </w:p>
    <w:p w14:paraId="28242542">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 xml:space="preserve">二、质量保修期 </w:t>
      </w:r>
    </w:p>
    <w:p w14:paraId="1996FAF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根据《建设工程质量管理条例》及有关规定，工程的质量保修期如下：</w:t>
      </w:r>
    </w:p>
    <w:p w14:paraId="068156E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1．基础工程和主体结构工程为设计文件规定的工程合理使用年限；</w:t>
      </w:r>
    </w:p>
    <w:p w14:paraId="297FEE6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2．屋面防水工程、有防水要求的卫生间、房间和外墙面的防渗漏为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p>
    <w:p w14:paraId="52055E8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3．装修工程为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p>
    <w:p w14:paraId="50240A7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4．材料设备安装工程至少为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p>
    <w:p w14:paraId="526F9B4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5．供热与供冷系统为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个采暖期、供冷期；</w:t>
      </w:r>
    </w:p>
    <w:p w14:paraId="65C6043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6．住宅小区内的给排水设施、道路等配套工程为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p>
    <w:p w14:paraId="15F44FA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7．其他项目保修期限约定如下：</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项目竣工验收合格之日起1年</w:t>
      </w:r>
      <w:r>
        <w:rPr>
          <w:rFonts w:hint="eastAsia" w:ascii="仿宋" w:hAnsi="仿宋" w:eastAsia="仿宋" w:cs="仿宋"/>
          <w:color w:val="auto"/>
          <w:sz w:val="24"/>
          <w:szCs w:val="24"/>
          <w:highlight w:val="none"/>
          <w:u w:val="single"/>
          <w:lang w:eastAsia="zh-CN"/>
        </w:rPr>
        <w:t>。</w:t>
      </w:r>
    </w:p>
    <w:p w14:paraId="52CFE3DC">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质量保修期自工程竣工验收合格之日起计算。</w:t>
      </w:r>
    </w:p>
    <w:p w14:paraId="22CA898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三、缺陷责任期</w:t>
      </w:r>
    </w:p>
    <w:p w14:paraId="3F0851E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工程缺陷责任期为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1</w:t>
      </w:r>
      <w:r>
        <w:rPr>
          <w:rFonts w:hint="eastAsia" w:ascii="仿宋" w:hAnsi="仿宋" w:eastAsia="仿宋" w:cs="仿宋"/>
          <w:color w:val="auto"/>
          <w:sz w:val="24"/>
          <w:szCs w:val="24"/>
          <w:highlight w:val="none"/>
          <w:u w:val="single"/>
          <w:lang w:eastAsia="zh-CN"/>
        </w:rPr>
        <w:t xml:space="preserve">年  </w:t>
      </w:r>
      <w:r>
        <w:rPr>
          <w:rFonts w:hint="eastAsia" w:ascii="仿宋" w:hAnsi="仿宋" w:eastAsia="仿宋" w:cs="仿宋"/>
          <w:color w:val="auto"/>
          <w:sz w:val="24"/>
          <w:szCs w:val="24"/>
          <w:highlight w:val="none"/>
          <w:lang w:eastAsia="zh-CN"/>
        </w:rPr>
        <w:t>，缺陷责任期自工程实际竣工验收合格之日起计算。单位工程先于全部工程进行验收，单位工程缺陷责任期自单位工程验收合格之日起算。</w:t>
      </w:r>
    </w:p>
    <w:p w14:paraId="7E3869F0">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    四、质量保修责任</w:t>
      </w:r>
    </w:p>
    <w:p w14:paraId="05AF8886">
      <w:pPr>
        <w:spacing w:line="360" w:lineRule="auto"/>
        <w:ind w:left="105" w:leftChars="50" w:firstLine="491" w:firstLineChars="20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1．属于保修范围、内容的项目，乙方应当在接到保修通知之日起24小时内派人保修。乙方不在约定期限内派人保修的，甲方可以委托他人修理。</w:t>
      </w:r>
    </w:p>
    <w:p w14:paraId="4B7B76BE">
      <w:pPr>
        <w:spacing w:line="360" w:lineRule="auto"/>
        <w:ind w:left="105" w:leftChars="50" w:firstLine="491" w:firstLineChars="20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2．发生紧急事故需抢修的，乙方在接到事故通知后，应当立即到达事故现场抢修。</w:t>
      </w:r>
    </w:p>
    <w:p w14:paraId="41398793">
      <w:pPr>
        <w:spacing w:line="360" w:lineRule="auto"/>
        <w:ind w:left="105" w:leftChars="50" w:firstLine="491" w:firstLineChars="20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对于涉及主体结构安全的质量问题，应当按照《建设工程质量管理条例》的规定，立即向当地建设行政主管部门和有关部门报告，采取安全防范措施，并由原设计人或者具有相应资质等级的设计人提出保修方案，乙方实施保修。</w:t>
      </w:r>
    </w:p>
    <w:p w14:paraId="456A3CA3">
      <w:pPr>
        <w:spacing w:line="360" w:lineRule="auto"/>
        <w:ind w:left="420" w:leftChars="200" w:firstLine="120" w:firstLineChars="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4．质量保修完成后，由甲方组织验收。</w:t>
      </w:r>
    </w:p>
    <w:p w14:paraId="79737E77">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五、保修费用</w:t>
      </w:r>
    </w:p>
    <w:p w14:paraId="5AC11C99">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保修费用由造成质量缺陷的责任方承担。</w:t>
      </w:r>
    </w:p>
    <w:p w14:paraId="0C9B3440">
      <w:pPr>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六、双方约定的其他工程质量保修事项：</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w:t>
      </w:r>
    </w:p>
    <w:p w14:paraId="759578A9">
      <w:pPr>
        <w:spacing w:line="360" w:lineRule="auto"/>
        <w:ind w:firstLine="456" w:firstLineChars="19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工程质量保修书由甲方、乙方在工程竣工验收前共同签署，作为施工合同附件，其有效期限至保修期满。</w:t>
      </w:r>
    </w:p>
    <w:p w14:paraId="49EFB8FA">
      <w:pPr>
        <w:spacing w:line="360" w:lineRule="auto"/>
        <w:ind w:firstLine="456" w:firstLineChars="190"/>
        <w:rPr>
          <w:rFonts w:hint="eastAsia" w:ascii="仿宋" w:hAnsi="仿宋" w:eastAsia="仿宋" w:cs="仿宋"/>
          <w:color w:val="auto"/>
          <w:sz w:val="24"/>
          <w:szCs w:val="24"/>
          <w:highlight w:val="none"/>
          <w:lang w:eastAsia="zh-CN"/>
        </w:rPr>
      </w:pPr>
    </w:p>
    <w:p w14:paraId="7939905D">
      <w:pPr>
        <w:spacing w:line="360" w:lineRule="auto"/>
        <w:ind w:firstLine="456" w:firstLineChars="190"/>
        <w:rPr>
          <w:rFonts w:hint="eastAsia" w:ascii="仿宋" w:hAnsi="仿宋" w:eastAsia="仿宋" w:cs="仿宋"/>
          <w:color w:val="auto"/>
          <w:sz w:val="24"/>
          <w:szCs w:val="24"/>
          <w:highlight w:val="none"/>
          <w:lang w:eastAsia="zh-CN"/>
        </w:rPr>
      </w:pPr>
    </w:p>
    <w:p w14:paraId="66D23E8A">
      <w:pPr>
        <w:spacing w:line="360" w:lineRule="auto"/>
        <w:ind w:firstLine="456" w:firstLineChars="190"/>
        <w:rPr>
          <w:rFonts w:hint="eastAsia" w:ascii="仿宋" w:hAnsi="仿宋" w:eastAsia="仿宋" w:cs="仿宋"/>
          <w:color w:val="auto"/>
          <w:sz w:val="24"/>
          <w:szCs w:val="24"/>
          <w:highlight w:val="none"/>
          <w:lang w:eastAsia="zh-CN"/>
        </w:rPr>
      </w:pPr>
    </w:p>
    <w:p w14:paraId="074004A7">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甲方(公章)：</w:t>
      </w:r>
      <w:r>
        <w:rPr>
          <w:rFonts w:hint="eastAsia" w:ascii="仿宋" w:hAnsi="仿宋" w:eastAsia="仿宋" w:cs="仿宋"/>
          <w:color w:val="auto"/>
          <w:sz w:val="24"/>
          <w:szCs w:val="24"/>
          <w:highlight w:val="none"/>
          <w:u w:val="single"/>
          <w:lang w:eastAsia="zh-CN"/>
        </w:rPr>
        <w:t xml:space="preserve">        </w:t>
      </w:r>
      <w:r>
        <w:rPr>
          <w:rFonts w:hint="eastAsia" w:ascii="仿宋" w:hAnsi="仿宋" w:eastAsia="仿宋" w:cs="仿宋"/>
          <w:color w:val="auto"/>
          <w:sz w:val="24"/>
          <w:szCs w:val="24"/>
          <w:highlight w:val="none"/>
          <w:lang w:eastAsia="zh-CN"/>
        </w:rPr>
        <w:t xml:space="preserve">           乙方(公章)：</w:t>
      </w:r>
      <w:r>
        <w:rPr>
          <w:rFonts w:hint="eastAsia" w:ascii="仿宋" w:hAnsi="仿宋" w:eastAsia="仿宋" w:cs="仿宋"/>
          <w:color w:val="auto"/>
          <w:sz w:val="24"/>
          <w:szCs w:val="24"/>
          <w:highlight w:val="none"/>
          <w:u w:val="single"/>
          <w:lang w:eastAsia="zh-CN"/>
        </w:rPr>
        <w:t xml:space="preserve">           </w:t>
      </w:r>
    </w:p>
    <w:p w14:paraId="572CD89D">
      <w:pPr>
        <w:spacing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地  址：</w:t>
      </w:r>
      <w:r>
        <w:rPr>
          <w:rFonts w:hint="eastAsia" w:ascii="仿宋" w:hAnsi="仿宋" w:eastAsia="仿宋" w:cs="仿宋"/>
          <w:color w:val="auto"/>
          <w:sz w:val="24"/>
          <w:szCs w:val="24"/>
          <w:highlight w:val="none"/>
          <w:u w:val="single"/>
        </w:rPr>
        <w:t xml:space="preserve">                     </w:t>
      </w:r>
    </w:p>
    <w:p w14:paraId="4CEFBF43">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代表人(签字)：</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法定代表人(签字)：</w:t>
      </w:r>
      <w:r>
        <w:rPr>
          <w:rFonts w:hint="eastAsia" w:ascii="仿宋" w:hAnsi="仿宋" w:eastAsia="仿宋" w:cs="仿宋"/>
          <w:color w:val="auto"/>
          <w:sz w:val="24"/>
          <w:szCs w:val="24"/>
          <w:highlight w:val="none"/>
          <w:u w:val="single"/>
          <w:lang w:eastAsia="zh-CN"/>
        </w:rPr>
        <w:t xml:space="preserve">       </w:t>
      </w:r>
    </w:p>
    <w:p w14:paraId="6A252D08">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委托代理人(签字)：</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委托代理人(签字)：</w:t>
      </w:r>
      <w:r>
        <w:rPr>
          <w:rFonts w:hint="eastAsia" w:ascii="仿宋" w:hAnsi="仿宋" w:eastAsia="仿宋" w:cs="仿宋"/>
          <w:color w:val="auto"/>
          <w:sz w:val="24"/>
          <w:szCs w:val="24"/>
          <w:highlight w:val="none"/>
          <w:u w:val="single"/>
          <w:lang w:eastAsia="zh-CN"/>
        </w:rPr>
        <w:t xml:space="preserve">         </w:t>
      </w:r>
    </w:p>
    <w:p w14:paraId="277EFC7E">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  话：</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电  话：</w:t>
      </w:r>
      <w:r>
        <w:rPr>
          <w:rFonts w:hint="eastAsia" w:ascii="仿宋" w:hAnsi="仿宋" w:eastAsia="仿宋" w:cs="仿宋"/>
          <w:color w:val="auto"/>
          <w:sz w:val="24"/>
          <w:szCs w:val="24"/>
          <w:highlight w:val="none"/>
          <w:u w:val="single"/>
          <w:lang w:eastAsia="zh-CN"/>
        </w:rPr>
        <w:t>           </w:t>
      </w:r>
    </w:p>
    <w:p w14:paraId="5AF09680">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传  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传  真：</w:t>
      </w:r>
      <w:r>
        <w:rPr>
          <w:rFonts w:hint="eastAsia" w:ascii="仿宋" w:hAnsi="仿宋" w:eastAsia="仿宋" w:cs="仿宋"/>
          <w:color w:val="auto"/>
          <w:sz w:val="24"/>
          <w:szCs w:val="24"/>
          <w:highlight w:val="none"/>
          <w:u w:val="single"/>
          <w:lang w:eastAsia="zh-CN"/>
        </w:rPr>
        <w:t xml:space="preserve">           </w:t>
      </w:r>
    </w:p>
    <w:p w14:paraId="6CF74D00">
      <w:pPr>
        <w:spacing w:line="360" w:lineRule="auto"/>
        <w:ind w:firstLine="240" w:firstLineChars="1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开户银行：</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开户银行：</w:t>
      </w:r>
      <w:r>
        <w:rPr>
          <w:rFonts w:hint="eastAsia" w:ascii="仿宋" w:hAnsi="仿宋" w:eastAsia="仿宋" w:cs="仿宋"/>
          <w:color w:val="auto"/>
          <w:sz w:val="24"/>
          <w:szCs w:val="24"/>
          <w:highlight w:val="none"/>
          <w:u w:val="single"/>
          <w:lang w:eastAsia="zh-CN"/>
        </w:rPr>
        <w:t xml:space="preserve">                   </w:t>
      </w:r>
    </w:p>
    <w:p w14:paraId="5F6EAD55">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账  号：</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 xml:space="preserve">           账  号：</w:t>
      </w:r>
      <w:r>
        <w:rPr>
          <w:rFonts w:hint="eastAsia" w:ascii="仿宋" w:hAnsi="仿宋" w:eastAsia="仿宋" w:cs="仿宋"/>
          <w:color w:val="auto"/>
          <w:sz w:val="24"/>
          <w:szCs w:val="24"/>
          <w:highlight w:val="none"/>
          <w:u w:val="single"/>
          <w:lang w:eastAsia="zh-CN"/>
        </w:rPr>
        <w:t xml:space="preserve">                     </w:t>
      </w:r>
    </w:p>
    <w:p w14:paraId="6B52FD26">
      <w:pPr>
        <w:spacing w:line="360" w:lineRule="auto"/>
        <w:ind w:firstLine="240" w:firstLineChars="100"/>
        <w:rPr>
          <w:rFonts w:hint="eastAsia" w:ascii="仿宋" w:hAnsi="仿宋" w:eastAsia="仿宋" w:cs="仿宋"/>
          <w:b/>
          <w:color w:val="auto"/>
          <w:sz w:val="24"/>
          <w:szCs w:val="24"/>
          <w:highlight w:val="none"/>
          <w:lang w:eastAsia="zh-CN"/>
        </w:rPr>
      </w:pPr>
      <w:r>
        <w:rPr>
          <w:rFonts w:hint="eastAsia" w:ascii="仿宋" w:hAnsi="仿宋" w:eastAsia="仿宋" w:cs="仿宋"/>
          <w:color w:val="auto"/>
          <w:sz w:val="24"/>
          <w:szCs w:val="24"/>
          <w:highlight w:val="none"/>
          <w:lang w:eastAsia="zh-CN"/>
        </w:rPr>
        <w:t>邮政编码：</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 xml:space="preserve">           邮政编码  </w:t>
      </w:r>
      <w:r>
        <w:rPr>
          <w:rFonts w:hint="eastAsia" w:ascii="仿宋" w:hAnsi="仿宋" w:eastAsia="仿宋" w:cs="仿宋"/>
          <w:color w:val="auto"/>
          <w:sz w:val="24"/>
          <w:szCs w:val="24"/>
          <w:highlight w:val="none"/>
          <w:u w:val="single"/>
          <w:lang w:eastAsia="zh-CN"/>
        </w:rPr>
        <w:t xml:space="preserve">     </w:t>
      </w:r>
    </w:p>
    <w:p w14:paraId="5164BDD2">
      <w:pPr>
        <w:rPr>
          <w:rFonts w:hint="eastAsia" w:ascii="仿宋" w:hAnsi="仿宋" w:eastAsia="仿宋" w:cs="仿宋"/>
          <w:color w:val="auto"/>
          <w:sz w:val="24"/>
          <w:szCs w:val="24"/>
          <w:highlight w:val="none"/>
          <w:lang w:eastAsia="zh-CN"/>
        </w:rPr>
      </w:pPr>
    </w:p>
    <w:p w14:paraId="2C6BE96D">
      <w:pPr>
        <w:rPr>
          <w:rFonts w:hint="eastAsia" w:ascii="仿宋" w:hAnsi="仿宋" w:eastAsia="仿宋" w:cs="仿宋"/>
          <w:color w:val="auto"/>
          <w:sz w:val="24"/>
          <w:szCs w:val="24"/>
          <w:highlight w:val="none"/>
          <w:lang w:eastAsia="zh-CN"/>
        </w:rPr>
      </w:pPr>
    </w:p>
    <w:p w14:paraId="34C7CA60">
      <w:pPr>
        <w:rPr>
          <w:rFonts w:hint="eastAsia" w:ascii="仿宋" w:hAnsi="仿宋" w:eastAsia="仿宋" w:cs="仿宋"/>
          <w:color w:val="auto"/>
          <w:sz w:val="24"/>
          <w:szCs w:val="24"/>
          <w:highlight w:val="none"/>
          <w:lang w:eastAsia="zh-CN"/>
        </w:rPr>
      </w:pPr>
    </w:p>
    <w:p w14:paraId="571954EF">
      <w:pPr>
        <w:rPr>
          <w:rFonts w:hint="eastAsia" w:ascii="仿宋" w:hAnsi="仿宋" w:eastAsia="仿宋" w:cs="仿宋"/>
          <w:color w:val="auto"/>
          <w:sz w:val="24"/>
          <w:szCs w:val="24"/>
          <w:highlight w:val="none"/>
          <w:lang w:eastAsia="zh-CN"/>
        </w:rPr>
      </w:pPr>
    </w:p>
    <w:p w14:paraId="3C297E82">
      <w:pPr>
        <w:rPr>
          <w:rFonts w:hint="eastAsia" w:ascii="仿宋" w:hAnsi="仿宋" w:eastAsia="仿宋" w:cs="仿宋"/>
          <w:color w:val="auto"/>
          <w:sz w:val="24"/>
          <w:szCs w:val="24"/>
          <w:highlight w:val="none"/>
          <w:lang w:eastAsia="zh-CN"/>
        </w:rPr>
      </w:pPr>
    </w:p>
    <w:p w14:paraId="70F0267C">
      <w:pPr>
        <w:rPr>
          <w:rFonts w:hint="eastAsia" w:ascii="仿宋" w:hAnsi="仿宋" w:eastAsia="仿宋" w:cs="仿宋"/>
          <w:color w:val="auto"/>
          <w:sz w:val="24"/>
          <w:szCs w:val="24"/>
          <w:highlight w:val="none"/>
          <w:lang w:eastAsia="zh-CN"/>
        </w:rPr>
      </w:pPr>
    </w:p>
    <w:p w14:paraId="53853539">
      <w:pPr>
        <w:rPr>
          <w:rFonts w:hint="eastAsia" w:ascii="仿宋" w:hAnsi="仿宋" w:eastAsia="仿宋" w:cs="仿宋"/>
          <w:b/>
          <w:color w:val="auto"/>
          <w:sz w:val="24"/>
          <w:szCs w:val="24"/>
          <w:highlight w:val="none"/>
          <w:lang w:eastAsia="zh-CN"/>
        </w:rPr>
      </w:pPr>
    </w:p>
    <w:p w14:paraId="38788F9B">
      <w:pP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br w:type="page"/>
      </w:r>
    </w:p>
    <w:p w14:paraId="1E0A1346">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附件2</w:t>
      </w:r>
    </w:p>
    <w:p w14:paraId="186CCC80">
      <w:pPr>
        <w:pStyle w:val="3"/>
        <w:spacing w:after="240" w:afterLines="100" w:line="420" w:lineRule="exact"/>
        <w:ind w:firstLine="0" w:firstLineChars="0"/>
        <w:jc w:val="center"/>
        <w:rPr>
          <w:rFonts w:hint="eastAsia" w:ascii="仿宋" w:hAnsi="仿宋" w:eastAsia="仿宋" w:cs="仿宋"/>
          <w:b/>
          <w:color w:val="auto"/>
          <w:szCs w:val="24"/>
          <w:highlight w:val="none"/>
          <w:lang w:eastAsia="zh-CN"/>
        </w:rPr>
      </w:pPr>
      <w:r>
        <w:rPr>
          <w:rFonts w:hint="eastAsia" w:ascii="仿宋" w:hAnsi="仿宋" w:eastAsia="仿宋" w:cs="仿宋"/>
          <w:b/>
          <w:color w:val="auto"/>
          <w:szCs w:val="24"/>
          <w:highlight w:val="none"/>
          <w:lang w:eastAsia="zh-CN"/>
        </w:rPr>
        <w:t>施工安全生产合同书</w:t>
      </w:r>
    </w:p>
    <w:p w14:paraId="0D7B19E5">
      <w:pPr>
        <w:spacing w:line="360" w:lineRule="auto"/>
        <w:ind w:firstLine="482" w:firstLineChars="200"/>
        <w:rPr>
          <w:rFonts w:hint="eastAsia" w:ascii="仿宋" w:hAnsi="仿宋" w:eastAsia="仿宋" w:cs="仿宋"/>
          <w:b/>
          <w:color w:val="auto"/>
          <w:sz w:val="24"/>
          <w:szCs w:val="24"/>
          <w:highlight w:val="none"/>
          <w:lang w:eastAsia="zh-CN"/>
        </w:rPr>
      </w:pPr>
    </w:p>
    <w:p w14:paraId="45135178">
      <w:pPr>
        <w:spacing w:line="360" w:lineRule="auto"/>
        <w:ind w:firstLine="482" w:firstLineChars="200"/>
        <w:rPr>
          <w:rFonts w:hint="eastAsia" w:ascii="仿宋" w:hAnsi="仿宋" w:eastAsia="仿宋" w:cs="仿宋"/>
          <w:color w:val="auto"/>
          <w:sz w:val="24"/>
          <w:szCs w:val="24"/>
          <w:highlight w:val="none"/>
          <w:lang w:eastAsia="zh-CN"/>
        </w:rPr>
      </w:pPr>
      <w:r>
        <w:rPr>
          <w:rFonts w:hint="eastAsia" w:ascii="仿宋" w:hAnsi="仿宋" w:eastAsia="仿宋" w:cs="仿宋"/>
          <w:b/>
          <w:color w:val="auto"/>
          <w:sz w:val="24"/>
          <w:szCs w:val="24"/>
          <w:highlight w:val="none"/>
          <w:lang w:eastAsia="zh-CN"/>
        </w:rPr>
        <w:t>甲方：</w:t>
      </w:r>
      <w:r>
        <w:rPr>
          <w:rFonts w:hint="eastAsia" w:ascii="仿宋" w:hAnsi="仿宋" w:eastAsia="仿宋" w:cs="仿宋"/>
          <w:color w:val="auto"/>
          <w:sz w:val="24"/>
          <w:szCs w:val="24"/>
          <w:highlight w:val="none"/>
          <w:u w:val="single"/>
          <w:lang w:eastAsia="zh-CN"/>
        </w:rPr>
        <w:t xml:space="preserve">                       </w:t>
      </w:r>
    </w:p>
    <w:p w14:paraId="3ABC3C36">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乙方：</w:t>
      </w:r>
      <w:r>
        <w:rPr>
          <w:rFonts w:hint="eastAsia" w:ascii="仿宋" w:hAnsi="仿宋" w:eastAsia="仿宋" w:cs="仿宋"/>
          <w:color w:val="auto"/>
          <w:sz w:val="24"/>
          <w:szCs w:val="24"/>
          <w:highlight w:val="none"/>
          <w:u w:val="single"/>
          <w:shd w:val="clear" w:color="auto" w:fill="FFFFFF"/>
          <w:lang w:eastAsia="zh-CN"/>
        </w:rPr>
        <w:t xml:space="preserve">                       </w:t>
      </w:r>
    </w:p>
    <w:p w14:paraId="0414F673">
      <w:pPr>
        <w:tabs>
          <w:tab w:val="left" w:pos="0"/>
        </w:tabs>
        <w:spacing w:line="360" w:lineRule="auto"/>
        <w:ind w:firstLine="424" w:firstLineChars="177"/>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为加强建设工程安全生产管理，落实安全生产责任，防止和减少生产安全事故，经甲乙丙双方在平等、自愿的基础上协商一致，根据《中华人民共和国安全生产法》、《建设工程安全生产管理条例》及相关法律、法规的规定，达成如下合同：</w:t>
      </w:r>
    </w:p>
    <w:p w14:paraId="761A1AFE">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一、建设工程安全生产管理目标及必须达到的安全事故控制指标</w:t>
      </w:r>
    </w:p>
    <w:p w14:paraId="590449D4">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遵守《建设工程安全生产管理条例》的规定，实现安全生产管理目标：无重伤、无死亡、无施工坍塌、无高处坠落、无滑坡、无火灾、无用电事故、无重大机械事故等各类安全生产事故。即：</w:t>
      </w:r>
    </w:p>
    <w:p w14:paraId="09912DCF">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1、因工死亡率为零；</w:t>
      </w:r>
    </w:p>
    <w:p w14:paraId="0018C82C">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2、因工重伤率为零；</w:t>
      </w:r>
    </w:p>
    <w:p w14:paraId="146C84FD">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3、因工轻伤事故率不高于1.5‰；</w:t>
      </w:r>
    </w:p>
    <w:p w14:paraId="60DBF666">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4、不发生损失额2万元以上的机械、设备、交通和火灾事故。</w:t>
      </w:r>
    </w:p>
    <w:p w14:paraId="52925190">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二、本合同有效期限</w:t>
      </w:r>
    </w:p>
    <w:p w14:paraId="15F9A87C">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自乙方</w:t>
      </w:r>
      <w:r>
        <w:rPr>
          <w:rFonts w:hint="eastAsia" w:ascii="仿宋" w:hAnsi="仿宋" w:eastAsia="仿宋" w:cs="仿宋"/>
          <w:color w:val="auto"/>
          <w:sz w:val="24"/>
          <w:szCs w:val="24"/>
          <w:highlight w:val="none"/>
          <w:lang w:val="en-US" w:eastAsia="zh-CN"/>
        </w:rPr>
        <w:t>合同签订之日</w:t>
      </w:r>
      <w:r>
        <w:rPr>
          <w:rFonts w:hint="eastAsia" w:ascii="仿宋" w:hAnsi="仿宋" w:eastAsia="仿宋" w:cs="仿宋"/>
          <w:color w:val="auto"/>
          <w:sz w:val="24"/>
          <w:szCs w:val="24"/>
          <w:highlight w:val="none"/>
          <w:lang w:eastAsia="zh-CN"/>
        </w:rPr>
        <w:t>起，至工程竣工验收合格交付甲方使用时止。</w:t>
      </w:r>
    </w:p>
    <w:p w14:paraId="5F26C0DF">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三、甲方的安全生产管理权利</w:t>
      </w:r>
    </w:p>
    <w:p w14:paraId="7C5B205F">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1、监督检查乙方的各项安全生产工作，对建筑工地现场实施日常检查和定期、不定期的巡查。</w:t>
      </w:r>
    </w:p>
    <w:p w14:paraId="097BFE94">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2、在实施检查、巡查过程中，发现建设工程存在安全事故隐患的，有权要求乙方暂时停止施工进行整改，直至消除安全事故隐患。</w:t>
      </w:r>
    </w:p>
    <w:p w14:paraId="1FE09E2A">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3、查阅与检查、巡查事项有关的文件、资料。并可根据实际情况，对施工现场进行检测、拍照、录音、摄像等。</w:t>
      </w:r>
    </w:p>
    <w:p w14:paraId="10AD6035">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4、乙方违反安全生产约定或规定时，甲方有权要求其支付违约金，并承担其他违约责任。</w:t>
      </w:r>
    </w:p>
    <w:p w14:paraId="3D770D09">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四、甲方的安全生产管理义务</w:t>
      </w:r>
    </w:p>
    <w:p w14:paraId="031A1B42">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1、甲方不得对乙方提出不符合建设工程安全生产法律、法规和强制性标准的要求。</w:t>
      </w:r>
    </w:p>
    <w:p w14:paraId="1BFF6993">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2、甲方不得明示或暗示乙方购买、租赁、使用不符合安全施工要求的安全防护用具、机械设备、施工机具及配件、消防设施和器材。</w:t>
      </w:r>
    </w:p>
    <w:p w14:paraId="605B4477">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3、对乙方施工现场采取的安全施工技术措施，根据乙方的请求，提供必要的协助。</w:t>
      </w:r>
    </w:p>
    <w:p w14:paraId="2724140C">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五、乙方的安全生产责任与义务</w:t>
      </w:r>
    </w:p>
    <w:p w14:paraId="0C1B28E9">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1、乙方应当在其资质等级许可范围内，并具备安全生产许可证的条件下承揽工程。</w:t>
      </w:r>
    </w:p>
    <w:p w14:paraId="43043682">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乙方应当严格按照建设工程安全生产的法律、法规、规章及安全生产的标准、规程的有关规定，组织工程施工，并对工程建设施工的安全生产工作全面负责。因乙方安全生产措施不力造成事故的责任和因此发生的费用由乙方承担。</w:t>
      </w:r>
    </w:p>
    <w:p w14:paraId="5866A497">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3、建立、健全与落实安全生产责任制度、安全生产教育培训制度、安全生产规章制度和操作规程。</w:t>
      </w:r>
    </w:p>
    <w:p w14:paraId="06DCFDFB">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4、设立安全生产管理机构，配备专职安全生产管理人员。</w:t>
      </w:r>
    </w:p>
    <w:p w14:paraId="459B3CE0">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5、根据工程特点组织制定安全施工措施，消除安全事故隐患。强化对基坑开挖、起重吊装、模板工程等危险性较大的工程施工的监控和安全防护措施的落实，严防高空坠落、施工坍塌等安全事故的发生。</w:t>
      </w:r>
    </w:p>
    <w:p w14:paraId="7C0F45F9">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6、随时接受甲方实施的安全检查、巡查、并按照甲方的要求进行整改，消除安全事故隐患，确保安全生产。</w:t>
      </w:r>
    </w:p>
    <w:p w14:paraId="25493859">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7、乙方应当在施工现场入口处、施工起重机械、临时用电设施、脚手架、出入通道口、基坑边沿等危险部位，设置明显的安全警示标志，安全警示标志必须符合国家标准。</w:t>
      </w:r>
    </w:p>
    <w:p w14:paraId="33F7AD78">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8、乙方应根据不同施工阶段和周围环境及季节、气候气象的变化，在施工现场采取相应的安全施工措施。确保雨季等特殊气候气象情况下的施工安全。</w:t>
      </w:r>
    </w:p>
    <w:p w14:paraId="47DA257D">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9、对建设工程施工进行定期和专项安全自检，并做好安全检查记录，及时发现并消除安全生产事故隐患。</w:t>
      </w:r>
    </w:p>
    <w:p w14:paraId="7C011FF6">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10、在施工现场建立消防安全责任制度，确定消防安全责任人，制定用火、用电等各项消防安全管理制度和操作规程。</w:t>
      </w:r>
    </w:p>
    <w:p w14:paraId="1775E86F">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11、制定实施工程现场生产安全事故应急救援预案，并定期组织演练。</w:t>
      </w:r>
    </w:p>
    <w:p w14:paraId="164BFAFD">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12、根据安全生产法律、法规、规章及相关标准、规程的规定，乙方应承担的其它责任与义务。</w:t>
      </w:r>
    </w:p>
    <w:p w14:paraId="03D25494">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六、现场停工整改约定</w:t>
      </w:r>
    </w:p>
    <w:p w14:paraId="564B6292">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甲方在乙方施工现场检查、巡查过程中，发现存在安全事故隐患，认为必须暂停施工的，应以书面形式下达停工整改通知。乙方对甲方的停工整改通知应予以执行，并按照甲方要求停止施工进行整改，妥善保护已完工程。</w:t>
      </w:r>
    </w:p>
    <w:p w14:paraId="742472F6">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2、乙方进行整改后，经甲方检查已消除安全事故隐患的，可以进行复工。</w:t>
      </w:r>
    </w:p>
    <w:p w14:paraId="60353EAE">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3、若在一个月内由于乙方出现安全事故隐患，被甲方下达停工整改通知累计两次的，则乙方同意甲方暂不支付其当月的工程进度款，该月工程进度款延期至工程竣工验收合格后再行支付。</w:t>
      </w:r>
    </w:p>
    <w:p w14:paraId="0F2BE51D">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七、安全生产奖励约定</w:t>
      </w:r>
    </w:p>
    <w:p w14:paraId="1A72B95D">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若乙方在本合同约定安全生产期间，全面实现建设工程安全生产管理目标，无安全生产事故发生，并且未违反本合同约定，未被甲方发出停工整改通知单与要求支付违约金的，甲方按以下方式给予乙方安全生产奖励。</w:t>
      </w:r>
    </w:p>
    <w:p w14:paraId="625D5B5D">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奖励标准为：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。奖励金额为：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 xml:space="preserve"> 。</w:t>
      </w:r>
    </w:p>
    <w:p w14:paraId="20341B8D">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八、安全生产违约责任</w:t>
      </w:r>
    </w:p>
    <w:p w14:paraId="39B73B32">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1、若乙方未能实现本合同约定的安全生产管理目标，发生安全生产事故的，乙方同意，甲方从质保金中扣除一定金额作为违约金。</w:t>
      </w:r>
    </w:p>
    <w:p w14:paraId="6D7E7FA9">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甲方在进行安全生产检查与巡查过程中，若发现乙方违反本合同约定，甲方有权从质保金中扣除一定金额作为违约金。违约金金额由甲方根据乙方违约的事实、性质、情节及危害程度等因素综合计算确定，但每次违约金金额最高不超过乙方缴纳的质保金总金额。</w:t>
      </w:r>
    </w:p>
    <w:p w14:paraId="5B10BDEE">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3、甲方从质保金中扣除一定金额作为违约金时，应当以书面形式通知乙方。其中：</w:t>
      </w:r>
    </w:p>
    <w:p w14:paraId="290C602E">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（1）乙方有下列行为之一的，每次违约金金额为按本合同约定的缴纳标准缴纳的全部质保金。</w:t>
      </w:r>
    </w:p>
    <w:p w14:paraId="29B295DC">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① 发生人员死亡的生产安全事故；</w:t>
      </w:r>
    </w:p>
    <w:p w14:paraId="316EB58D">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② 发生人员重伤的生产安全事故。</w:t>
      </w:r>
    </w:p>
    <w:p w14:paraId="70E14F78">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（2）乙方有下列行为之一的，每次违约金金额为</w:t>
      </w:r>
      <w:r>
        <w:rPr>
          <w:rFonts w:hint="eastAsia" w:ascii="仿宋" w:hAnsi="仿宋" w:eastAsia="仿宋" w:cs="仿宋"/>
          <w:color w:val="auto"/>
          <w:sz w:val="24"/>
          <w:szCs w:val="24"/>
          <w:highlight w:val="none"/>
          <w:lang w:val="en-US" w:eastAsia="zh-CN"/>
        </w:rPr>
        <w:t>合同签约价3‰</w:t>
      </w:r>
      <w:r>
        <w:rPr>
          <w:rFonts w:hint="eastAsia" w:ascii="仿宋" w:hAnsi="仿宋" w:eastAsia="仿宋" w:cs="仿宋"/>
          <w:color w:val="auto"/>
          <w:sz w:val="24"/>
          <w:szCs w:val="24"/>
          <w:highlight w:val="none"/>
          <w:lang w:eastAsia="zh-CN"/>
        </w:rPr>
        <w:t>。</w:t>
      </w:r>
    </w:p>
    <w:p w14:paraId="31027F5F">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① 发生人员轻伤的生产安全事故累计超过三次或一个月内连续发生两次；</w:t>
      </w:r>
    </w:p>
    <w:p w14:paraId="3A9D85FA">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② 发生2万元以上的机械、设备、交通和火灾生产安全事故。</w:t>
      </w:r>
    </w:p>
    <w:p w14:paraId="5F478C7A">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4、甲方按本合同约定从质保金中扣除一定金额作为违约金，并不能免除乙方应承担的有关国家机关行政处罚与民事赔偿责任，以及应负的其他法律责任。</w:t>
      </w:r>
    </w:p>
    <w:p w14:paraId="4B2D60C5">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九、附则</w:t>
      </w:r>
    </w:p>
    <w:p w14:paraId="294A9B6B">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1、本合同约定的甲方权利义务，除收款权利、付款义务、发生违约行为时的责任费用支付义务及诉权由甲方行使。</w:t>
      </w:r>
    </w:p>
    <w:p w14:paraId="15988646">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2、本合同所称安全生产保证金是指安全生产风险抵押金。</w:t>
      </w:r>
    </w:p>
    <w:p w14:paraId="5C66B483">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3、本合同与双方签订的工程施工合同具有同等法律效力。工程施工合同中没有约定或约定与本合同冲突的，均以本合同约定为准。</w:t>
      </w:r>
    </w:p>
    <w:p w14:paraId="6D3BBB2A">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4、本合同自双方签字盖章或盖章后即生效。</w:t>
      </w:r>
    </w:p>
    <w:p w14:paraId="7DF74BEF">
      <w:pPr>
        <w:tabs>
          <w:tab w:val="left" w:pos="0"/>
        </w:tabs>
        <w:spacing w:line="360" w:lineRule="auto"/>
        <w:ind w:firstLine="424" w:firstLineChars="177"/>
        <w:rPr>
          <w:rFonts w:hint="eastAsia" w:ascii="仿宋" w:hAnsi="仿宋" w:eastAsia="仿宋" w:cs="仿宋"/>
          <w:color w:val="auto"/>
          <w:sz w:val="24"/>
          <w:szCs w:val="24"/>
          <w:highlight w:val="none"/>
          <w:lang w:eastAsia="zh-CN"/>
        </w:rPr>
      </w:pPr>
    </w:p>
    <w:p w14:paraId="31C6461D">
      <w:pPr>
        <w:tabs>
          <w:tab w:val="left" w:pos="0"/>
        </w:tabs>
        <w:spacing w:line="360" w:lineRule="auto"/>
        <w:ind w:firstLine="424" w:firstLineChars="177"/>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甲方（盖章）：                   乙方（盖章）：     </w:t>
      </w:r>
    </w:p>
    <w:p w14:paraId="38CECD0D">
      <w:pPr>
        <w:tabs>
          <w:tab w:val="left" w:pos="0"/>
        </w:tabs>
        <w:spacing w:line="360" w:lineRule="auto"/>
        <w:ind w:firstLine="424" w:firstLineChars="17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法定代表人或委托代理人             法定代表人或委托代理人    </w:t>
      </w:r>
    </w:p>
    <w:p w14:paraId="528D83FD">
      <w:pPr>
        <w:tabs>
          <w:tab w:val="left" w:pos="0"/>
        </w:tabs>
        <w:spacing w:line="360" w:lineRule="auto"/>
        <w:ind w:firstLine="424" w:firstLineChars="177"/>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（签字）：                            （签字）：</w:t>
      </w:r>
    </w:p>
    <w:p w14:paraId="5C7C77CB">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color w:val="auto"/>
          <w:sz w:val="24"/>
          <w:szCs w:val="24"/>
          <w:highlight w:val="none"/>
          <w:lang w:eastAsia="zh-CN"/>
        </w:rPr>
        <w:t xml:space="preserve">          年   月   日                       年   月   日         </w:t>
      </w:r>
    </w:p>
    <w:p w14:paraId="7CB528D3">
      <w:pPr>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br w:type="page"/>
      </w:r>
      <w:r>
        <w:rPr>
          <w:rFonts w:hint="eastAsia" w:ascii="仿宋" w:hAnsi="仿宋" w:eastAsia="仿宋" w:cs="仿宋"/>
          <w:b/>
          <w:color w:val="auto"/>
          <w:sz w:val="24"/>
          <w:szCs w:val="24"/>
          <w:highlight w:val="none"/>
          <w:lang w:eastAsia="zh-CN"/>
        </w:rPr>
        <w:t>附件3：</w:t>
      </w:r>
    </w:p>
    <w:p w14:paraId="572F3FD8">
      <w:pPr>
        <w:spacing w:line="360" w:lineRule="auto"/>
        <w:jc w:val="center"/>
        <w:outlineLvl w:val="1"/>
        <w:rPr>
          <w:rFonts w:hint="eastAsia" w:ascii="仿宋" w:hAnsi="仿宋" w:eastAsia="仿宋" w:cs="仿宋"/>
          <w:b/>
          <w:color w:val="auto"/>
          <w:sz w:val="24"/>
          <w:szCs w:val="24"/>
          <w:highlight w:val="none"/>
          <w:lang w:eastAsia="zh-CN"/>
        </w:rPr>
      </w:pPr>
      <w:bookmarkStart w:id="3" w:name="_Toc23908"/>
      <w:r>
        <w:rPr>
          <w:rFonts w:hint="eastAsia" w:ascii="仿宋" w:hAnsi="仿宋" w:eastAsia="仿宋" w:cs="仿宋"/>
          <w:b/>
          <w:color w:val="auto"/>
          <w:sz w:val="24"/>
          <w:szCs w:val="24"/>
          <w:highlight w:val="none"/>
          <w:lang w:eastAsia="zh-CN"/>
        </w:rPr>
        <w:t>工程项目廉政合同</w:t>
      </w:r>
      <w:bookmarkEnd w:id="3"/>
    </w:p>
    <w:p w14:paraId="2ED9F987">
      <w:pPr>
        <w:spacing w:line="360" w:lineRule="auto"/>
        <w:jc w:val="center"/>
        <w:rPr>
          <w:rFonts w:hint="eastAsia" w:ascii="仿宋" w:hAnsi="仿宋" w:eastAsia="仿宋" w:cs="仿宋"/>
          <w:b/>
          <w:bCs/>
          <w:color w:val="auto"/>
          <w:sz w:val="24"/>
          <w:szCs w:val="24"/>
          <w:highlight w:val="none"/>
          <w:lang w:eastAsia="zh-CN"/>
        </w:rPr>
      </w:pPr>
    </w:p>
    <w:p w14:paraId="450B52F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（以下简称“甲方”）与</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（以下简称“乙方”），特订立本廉政合同。</w:t>
      </w:r>
    </w:p>
    <w:p w14:paraId="6050FC03">
      <w:pPr>
        <w:spacing w:line="360" w:lineRule="auto"/>
        <w:ind w:firstLine="480" w:firstLineChars="200"/>
        <w:outlineLvl w:val="1"/>
        <w:rPr>
          <w:rFonts w:hint="eastAsia" w:ascii="仿宋" w:hAnsi="仿宋" w:eastAsia="仿宋" w:cs="仿宋"/>
          <w:color w:val="auto"/>
          <w:sz w:val="24"/>
          <w:szCs w:val="24"/>
          <w:highlight w:val="none"/>
          <w:lang w:eastAsia="zh-CN"/>
        </w:rPr>
      </w:pPr>
      <w:bookmarkStart w:id="4" w:name="_Toc22123"/>
      <w:bookmarkStart w:id="5" w:name="_Toc415486315"/>
      <w:bookmarkStart w:id="6" w:name="_Toc14453"/>
      <w:bookmarkStart w:id="7" w:name="_Toc15510"/>
      <w:bookmarkStart w:id="8" w:name="_Toc10542"/>
      <w:bookmarkStart w:id="9" w:name="_Toc18752"/>
      <w:bookmarkStart w:id="10" w:name="_Toc9191"/>
      <w:bookmarkStart w:id="11" w:name="_Toc4534"/>
      <w:bookmarkStart w:id="12" w:name="_Toc413154068"/>
      <w:bookmarkStart w:id="13" w:name="_Toc913"/>
      <w:bookmarkStart w:id="14" w:name="_Toc17019"/>
      <w:bookmarkStart w:id="15" w:name="_Toc28072"/>
      <w:bookmarkStart w:id="16" w:name="_Toc422385744"/>
      <w:bookmarkStart w:id="17" w:name="_Toc1436"/>
      <w:r>
        <w:rPr>
          <w:rFonts w:hint="eastAsia" w:ascii="仿宋" w:hAnsi="仿宋" w:eastAsia="仿宋" w:cs="仿宋"/>
          <w:color w:val="auto"/>
          <w:sz w:val="24"/>
          <w:szCs w:val="24"/>
          <w:highlight w:val="none"/>
          <w:lang w:eastAsia="zh-CN"/>
        </w:rPr>
        <w:t>第一条  甲乙双方的权利和义务</w:t>
      </w:r>
      <w:bookmarkEnd w:id="4"/>
      <w:bookmarkEnd w:id="5"/>
      <w:bookmarkEnd w:id="6"/>
      <w:bookmarkEnd w:id="7"/>
      <w:bookmarkEnd w:id="8"/>
      <w:bookmarkEnd w:id="9"/>
      <w:bookmarkEnd w:id="10"/>
      <w:bookmarkEnd w:id="11"/>
      <w:bookmarkEnd w:id="12"/>
      <w:bookmarkEnd w:id="13"/>
      <w:bookmarkEnd w:id="14"/>
      <w:bookmarkEnd w:id="15"/>
      <w:bookmarkEnd w:id="16"/>
      <w:bookmarkEnd w:id="17"/>
    </w:p>
    <w:p w14:paraId="35DCCA4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双方同意并声明，在业务活动中：</w:t>
      </w:r>
    </w:p>
    <w:p w14:paraId="63F61C4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（一）严格遵守国家关于市场准入、勘测设计、施工监理、招标投标、工程施工、设备安装和市场经营活动等有关法律法规及相关政策，以及廉政建设的各项规定；</w:t>
      </w:r>
    </w:p>
    <w:p w14:paraId="77F2D03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（二）严格执行本项目甲乙双方签订的施工合同文件，自觉按合同办事；</w:t>
      </w:r>
    </w:p>
    <w:p w14:paraId="7109FAC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1DEF74C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（四）建立健全廉政制度，开展廉政教育，设立廉政公示牌，公布举报电话。积极开展相互监督，发现对方在业务活动中有违反本合同行为的，有及时提醒对方纠正或向有关部门举报的权利和义务。</w:t>
      </w:r>
    </w:p>
    <w:p w14:paraId="1C17CAF5">
      <w:pPr>
        <w:spacing w:line="360" w:lineRule="auto"/>
        <w:ind w:firstLine="480" w:firstLineChars="200"/>
        <w:outlineLvl w:val="1"/>
        <w:rPr>
          <w:rFonts w:hint="eastAsia" w:ascii="仿宋" w:hAnsi="仿宋" w:eastAsia="仿宋" w:cs="仿宋"/>
          <w:color w:val="auto"/>
          <w:sz w:val="24"/>
          <w:szCs w:val="24"/>
          <w:highlight w:val="none"/>
          <w:lang w:eastAsia="zh-CN"/>
        </w:rPr>
      </w:pPr>
      <w:bookmarkStart w:id="18" w:name="_Toc9446"/>
      <w:bookmarkStart w:id="19" w:name="_Toc8341"/>
      <w:bookmarkStart w:id="20" w:name="_Toc21231"/>
      <w:bookmarkStart w:id="21" w:name="_Toc413154069"/>
      <w:bookmarkStart w:id="22" w:name="_Toc25417"/>
      <w:bookmarkStart w:id="23" w:name="_Toc28835"/>
      <w:bookmarkStart w:id="24" w:name="_Toc31410"/>
      <w:bookmarkStart w:id="25" w:name="_Toc141"/>
      <w:bookmarkStart w:id="26" w:name="_Toc24150"/>
      <w:bookmarkStart w:id="27" w:name="_Toc32555"/>
      <w:bookmarkStart w:id="28" w:name="_Toc12370"/>
      <w:bookmarkStart w:id="29" w:name="_Toc415486316"/>
      <w:bookmarkStart w:id="30" w:name="_Toc422385745"/>
      <w:bookmarkStart w:id="31" w:name="_Toc20393"/>
      <w:r>
        <w:rPr>
          <w:rFonts w:hint="eastAsia" w:ascii="仿宋" w:hAnsi="仿宋" w:eastAsia="仿宋" w:cs="仿宋"/>
          <w:color w:val="auto"/>
          <w:sz w:val="24"/>
          <w:szCs w:val="24"/>
          <w:highlight w:val="none"/>
          <w:lang w:eastAsia="zh-CN"/>
        </w:rPr>
        <w:t>第二条  甲方的责任</w:t>
      </w:r>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085EA40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甲方的领导和从事该工程项目的工作人员，在工程项目的事前、事中、事后应遵守以下规定：</w:t>
      </w:r>
    </w:p>
    <w:p w14:paraId="14729D0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（一）禁止向乙方索要、接受回扣、礼金、有价证券、贵重物品和好处费、感谢费或在乙方报销任何应由甲方（个人）支付的费用；</w:t>
      </w:r>
    </w:p>
    <w:p w14:paraId="4BC0AE4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（二）禁止参加乙方安排的宴请和健身、娱乐等活动或接受乙方提供的通讯工具、交通工具和高档办公用品等；</w:t>
      </w:r>
    </w:p>
    <w:p w14:paraId="108A205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（三）禁止要求、暗示和接受乙方为个人装修住房、婚丧嫁娶、配偶子女的工作安排以及出国（境）、旅游等提供方便；</w:t>
      </w:r>
    </w:p>
    <w:p w14:paraId="432763E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（四）禁止允许、纵容配偶、子女从事与乙方承包本工程有关的设备材料供应、工程分包、劳务等经济活动，并为其提供便利条件；</w:t>
      </w:r>
    </w:p>
    <w:p w14:paraId="00E03DA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（五）禁止以任何理由向乙方推荐分包单位和设备、材料供应商，不得要求乙方购买项目合同规定外的材料、设备和服务等；</w:t>
      </w:r>
    </w:p>
    <w:p w14:paraId="77C30CA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（六）不得为获取乙方回扣或其他谋取私利而多签或多算工程量、多结工程款；不得从乙方承包的工程中收受回扣，谋取私利；</w:t>
      </w:r>
    </w:p>
    <w:p w14:paraId="0B0FBE7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(七)不得因乙方拒绝本人的不合理要求，而故意刁难乙方；</w:t>
      </w:r>
    </w:p>
    <w:p w14:paraId="19E3AE6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(八)其它有关违反廉政规定的行为。</w:t>
      </w:r>
    </w:p>
    <w:p w14:paraId="5CFF6785">
      <w:pPr>
        <w:spacing w:line="360" w:lineRule="auto"/>
        <w:ind w:firstLine="480" w:firstLineChars="200"/>
        <w:outlineLvl w:val="1"/>
        <w:rPr>
          <w:rFonts w:hint="eastAsia" w:ascii="仿宋" w:hAnsi="仿宋" w:eastAsia="仿宋" w:cs="仿宋"/>
          <w:color w:val="auto"/>
          <w:sz w:val="24"/>
          <w:szCs w:val="24"/>
          <w:highlight w:val="none"/>
          <w:lang w:eastAsia="zh-CN"/>
        </w:rPr>
      </w:pPr>
      <w:bookmarkStart w:id="32" w:name="_Toc23197"/>
      <w:bookmarkStart w:id="33" w:name="_Toc413154070"/>
      <w:bookmarkStart w:id="34" w:name="_Toc2684"/>
      <w:bookmarkStart w:id="35" w:name="_Toc7583"/>
      <w:bookmarkStart w:id="36" w:name="_Toc29510"/>
      <w:bookmarkStart w:id="37" w:name="_Toc28178"/>
      <w:bookmarkStart w:id="38" w:name="_Toc415486317"/>
      <w:bookmarkStart w:id="39" w:name="_Toc6206"/>
      <w:bookmarkStart w:id="40" w:name="_Toc422385746"/>
      <w:bookmarkStart w:id="41" w:name="_Toc32412"/>
      <w:bookmarkStart w:id="42" w:name="_Toc14146"/>
      <w:bookmarkStart w:id="43" w:name="_Toc32519"/>
      <w:bookmarkStart w:id="44" w:name="_Toc21695"/>
      <w:bookmarkStart w:id="45" w:name="_Toc31347"/>
      <w:r>
        <w:rPr>
          <w:rFonts w:hint="eastAsia" w:ascii="仿宋" w:hAnsi="仿宋" w:eastAsia="仿宋" w:cs="仿宋"/>
          <w:color w:val="auto"/>
          <w:sz w:val="24"/>
          <w:szCs w:val="24"/>
          <w:highlight w:val="none"/>
          <w:lang w:eastAsia="zh-CN"/>
        </w:rPr>
        <w:t>第三条  乙方的责任</w:t>
      </w:r>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2E7E9AD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乙方应与甲方保持正常的业务交往，按照有关法律法规和程序开展业务工作，严格执行工程建设的有关方针、政策，尤其是有关强制性标准和规范，并遵守以下规定：</w:t>
      </w:r>
    </w:p>
    <w:p w14:paraId="3771DA03">
      <w:pPr>
        <w:spacing w:line="360" w:lineRule="auto"/>
        <w:ind w:firstLine="480" w:firstLineChars="200"/>
        <w:outlineLvl w:val="0"/>
        <w:rPr>
          <w:rFonts w:hint="eastAsia" w:ascii="仿宋" w:hAnsi="仿宋" w:eastAsia="仿宋" w:cs="仿宋"/>
          <w:color w:val="auto"/>
          <w:sz w:val="24"/>
          <w:szCs w:val="24"/>
          <w:highlight w:val="none"/>
          <w:lang w:eastAsia="zh-CN"/>
        </w:rPr>
      </w:pPr>
      <w:bookmarkStart w:id="46" w:name="_Toc17467"/>
      <w:bookmarkStart w:id="47" w:name="_Toc23409"/>
      <w:bookmarkStart w:id="48" w:name="_Toc415486318"/>
      <w:bookmarkStart w:id="49" w:name="_Toc30492"/>
      <w:bookmarkStart w:id="50" w:name="_Toc26257"/>
      <w:bookmarkStart w:id="51" w:name="_Toc413154071"/>
      <w:bookmarkStart w:id="52" w:name="_Toc8553"/>
      <w:bookmarkStart w:id="53" w:name="_Toc32478"/>
      <w:bookmarkStart w:id="54" w:name="_Toc17400"/>
      <w:bookmarkStart w:id="55" w:name="_Toc19850"/>
      <w:bookmarkStart w:id="56" w:name="_Toc31008"/>
      <w:bookmarkStart w:id="57" w:name="_Toc593"/>
      <w:bookmarkStart w:id="58" w:name="_Toc18261"/>
      <w:bookmarkStart w:id="59" w:name="_Toc5055"/>
      <w:bookmarkStart w:id="60" w:name="_Toc8905"/>
      <w:bookmarkStart w:id="61" w:name="_Toc4022"/>
      <w:bookmarkStart w:id="62" w:name="_Toc21602"/>
      <w:bookmarkStart w:id="63" w:name="_Toc13064"/>
      <w:bookmarkStart w:id="64" w:name="_Toc25572"/>
      <w:bookmarkStart w:id="65" w:name="_Toc422385747"/>
      <w:bookmarkStart w:id="66" w:name="_Toc27935"/>
      <w:r>
        <w:rPr>
          <w:rFonts w:hint="eastAsia" w:ascii="仿宋" w:hAnsi="仿宋" w:eastAsia="仿宋" w:cs="仿宋"/>
          <w:color w:val="auto"/>
          <w:sz w:val="24"/>
          <w:szCs w:val="24"/>
          <w:highlight w:val="none"/>
          <w:lang w:eastAsia="zh-CN"/>
        </w:rPr>
        <w:t>（一）不准以任何理由、任何形式向甲方、监理单位及其工作人员行贿或馈赠礼金、有价证券、贵重物品等；</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68BB29D7">
      <w:pPr>
        <w:spacing w:line="360" w:lineRule="auto"/>
        <w:ind w:firstLine="480" w:firstLineChars="200"/>
        <w:outlineLvl w:val="0"/>
        <w:rPr>
          <w:rFonts w:hint="eastAsia" w:ascii="仿宋" w:hAnsi="仿宋" w:eastAsia="仿宋" w:cs="仿宋"/>
          <w:color w:val="auto"/>
          <w:sz w:val="24"/>
          <w:szCs w:val="24"/>
          <w:highlight w:val="none"/>
          <w:lang w:eastAsia="zh-CN"/>
        </w:rPr>
      </w:pPr>
      <w:bookmarkStart w:id="67" w:name="_Toc22905"/>
      <w:bookmarkStart w:id="68" w:name="_Toc32263"/>
      <w:bookmarkStart w:id="69" w:name="_Toc8995"/>
      <w:bookmarkStart w:id="70" w:name="_Toc3486"/>
      <w:bookmarkStart w:id="71" w:name="_Toc2016"/>
      <w:bookmarkStart w:id="72" w:name="_Toc25939"/>
      <w:bookmarkStart w:id="73" w:name="_Toc18268"/>
      <w:bookmarkStart w:id="74" w:name="_Toc26165"/>
      <w:bookmarkStart w:id="75" w:name="_Toc415486319"/>
      <w:bookmarkStart w:id="76" w:name="_Toc22664"/>
      <w:bookmarkStart w:id="77" w:name="_Toc27670"/>
      <w:bookmarkStart w:id="78" w:name="_Toc20043"/>
      <w:bookmarkStart w:id="79" w:name="_Toc22886"/>
      <w:bookmarkStart w:id="80" w:name="_Toc19950"/>
      <w:bookmarkStart w:id="81" w:name="_Toc422385748"/>
      <w:bookmarkStart w:id="82" w:name="_Toc413154072"/>
      <w:bookmarkStart w:id="83" w:name="_Toc9694"/>
      <w:bookmarkStart w:id="84" w:name="_Toc31190"/>
      <w:bookmarkStart w:id="85" w:name="_Toc29070"/>
      <w:bookmarkStart w:id="86" w:name="_Toc3813"/>
      <w:bookmarkStart w:id="87" w:name="_Toc17135"/>
      <w:r>
        <w:rPr>
          <w:rFonts w:hint="eastAsia" w:ascii="仿宋" w:hAnsi="仿宋" w:eastAsia="仿宋" w:cs="仿宋"/>
          <w:color w:val="auto"/>
          <w:sz w:val="24"/>
          <w:szCs w:val="24"/>
          <w:highlight w:val="none"/>
          <w:lang w:eastAsia="zh-CN"/>
        </w:rPr>
        <w:t>（二）不准以任何名义为甲方、监理单位及其工作人员报销应由对方或个人支付的费用；</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51E834F8">
      <w:pPr>
        <w:spacing w:line="360" w:lineRule="auto"/>
        <w:ind w:firstLine="480" w:firstLineChars="200"/>
        <w:outlineLvl w:val="0"/>
        <w:rPr>
          <w:rFonts w:hint="eastAsia" w:ascii="仿宋" w:hAnsi="仿宋" w:eastAsia="仿宋" w:cs="仿宋"/>
          <w:color w:val="auto"/>
          <w:sz w:val="24"/>
          <w:szCs w:val="24"/>
          <w:highlight w:val="none"/>
          <w:lang w:eastAsia="zh-CN"/>
        </w:rPr>
      </w:pPr>
      <w:bookmarkStart w:id="88" w:name="_Toc1283"/>
      <w:bookmarkStart w:id="89" w:name="_Toc13553"/>
      <w:bookmarkStart w:id="90" w:name="_Toc9654"/>
      <w:bookmarkStart w:id="91" w:name="_Toc415486320"/>
      <w:bookmarkStart w:id="92" w:name="_Toc32454"/>
      <w:bookmarkStart w:id="93" w:name="_Toc25972"/>
      <w:bookmarkStart w:id="94" w:name="_Toc20669"/>
      <w:bookmarkStart w:id="95" w:name="_Toc16279"/>
      <w:bookmarkStart w:id="96" w:name="_Toc32349"/>
      <w:bookmarkStart w:id="97" w:name="_Toc6840"/>
      <w:bookmarkStart w:id="98" w:name="_Toc7238"/>
      <w:bookmarkStart w:id="99" w:name="_Toc30208"/>
      <w:bookmarkStart w:id="100" w:name="_Toc25078"/>
      <w:bookmarkStart w:id="101" w:name="_Toc6347"/>
      <w:bookmarkStart w:id="102" w:name="_Toc413154073"/>
      <w:bookmarkStart w:id="103" w:name="_Toc9592"/>
      <w:bookmarkStart w:id="104" w:name="_Toc16297"/>
      <w:bookmarkStart w:id="105" w:name="_Toc22146"/>
      <w:bookmarkStart w:id="106" w:name="_Toc7278"/>
      <w:bookmarkStart w:id="107" w:name="_Toc13487"/>
      <w:bookmarkStart w:id="108" w:name="_Toc422385749"/>
      <w:r>
        <w:rPr>
          <w:rFonts w:hint="eastAsia" w:ascii="仿宋" w:hAnsi="仿宋" w:eastAsia="仿宋" w:cs="仿宋"/>
          <w:color w:val="auto"/>
          <w:sz w:val="24"/>
          <w:szCs w:val="24"/>
          <w:highlight w:val="none"/>
          <w:lang w:eastAsia="zh-CN"/>
        </w:rPr>
        <w:t>（三）不准以任何理由为甲方、监理单位和其他相关单位及其工作人员提供有可能影响执行公务的宴请及健身、娱乐和旅游等活动；</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4D098763">
      <w:pPr>
        <w:spacing w:line="360" w:lineRule="auto"/>
        <w:ind w:firstLine="480" w:firstLineChars="200"/>
        <w:outlineLvl w:val="0"/>
        <w:rPr>
          <w:rFonts w:hint="eastAsia" w:ascii="仿宋" w:hAnsi="仿宋" w:eastAsia="仿宋" w:cs="仿宋"/>
          <w:color w:val="auto"/>
          <w:sz w:val="24"/>
          <w:szCs w:val="24"/>
          <w:highlight w:val="none"/>
          <w:lang w:eastAsia="zh-CN"/>
        </w:rPr>
      </w:pPr>
      <w:bookmarkStart w:id="109" w:name="_Toc8666"/>
      <w:bookmarkStart w:id="110" w:name="_Toc415486321"/>
      <w:bookmarkStart w:id="111" w:name="_Toc1732"/>
      <w:bookmarkStart w:id="112" w:name="_Toc30459"/>
      <w:bookmarkStart w:id="113" w:name="_Toc568"/>
      <w:bookmarkStart w:id="114" w:name="_Toc23772"/>
      <w:bookmarkStart w:id="115" w:name="_Toc19878"/>
      <w:bookmarkStart w:id="116" w:name="_Toc413154074"/>
      <w:bookmarkStart w:id="117" w:name="_Toc32282"/>
      <w:bookmarkStart w:id="118" w:name="_Toc9394"/>
      <w:bookmarkStart w:id="119" w:name="_Toc107"/>
      <w:bookmarkStart w:id="120" w:name="_Toc8106"/>
      <w:bookmarkStart w:id="121" w:name="_Toc20582"/>
      <w:bookmarkStart w:id="122" w:name="_Toc24555"/>
      <w:bookmarkStart w:id="123" w:name="_Toc422385750"/>
      <w:bookmarkStart w:id="124" w:name="_Toc15593"/>
      <w:bookmarkStart w:id="125" w:name="_Toc20572"/>
      <w:bookmarkStart w:id="126" w:name="_Toc32176"/>
      <w:bookmarkStart w:id="127" w:name="_Toc8181"/>
      <w:bookmarkStart w:id="128" w:name="_Toc2249"/>
      <w:r>
        <w:rPr>
          <w:rFonts w:hint="eastAsia" w:ascii="仿宋" w:hAnsi="仿宋" w:eastAsia="仿宋" w:cs="仿宋"/>
          <w:color w:val="auto"/>
          <w:sz w:val="24"/>
          <w:szCs w:val="24"/>
          <w:highlight w:val="none"/>
          <w:lang w:eastAsia="zh-CN"/>
        </w:rPr>
        <w:t>（四）不准为甲方和监理单位及其工作人员购置或提供通讯工具、交通工具和高档办公用品和装修住房等；</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282FB63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(五)不准接受或暗示为甲方、监理单位和其它相关单位及其工作人员装修房屋、婚丧嫁娶、配偶子女的工作安排以及出国（境）、旅游观光活动提供方便；</w:t>
      </w:r>
    </w:p>
    <w:p w14:paraId="7D5F43F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(六)不准利用黄、赌、贿等各种手段拉拢腐蚀甲方工作人员；</w:t>
      </w:r>
    </w:p>
    <w:p w14:paraId="701C1C9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(七)其它有关违反廉政规定的行为。</w:t>
      </w:r>
    </w:p>
    <w:p w14:paraId="5B8FB9C8">
      <w:pPr>
        <w:spacing w:line="360" w:lineRule="auto"/>
        <w:ind w:firstLine="480" w:firstLineChars="200"/>
        <w:outlineLvl w:val="1"/>
        <w:rPr>
          <w:rFonts w:hint="eastAsia" w:ascii="仿宋" w:hAnsi="仿宋" w:eastAsia="仿宋" w:cs="仿宋"/>
          <w:color w:val="auto"/>
          <w:sz w:val="24"/>
          <w:szCs w:val="24"/>
          <w:highlight w:val="none"/>
          <w:lang w:eastAsia="zh-CN"/>
        </w:rPr>
      </w:pPr>
      <w:bookmarkStart w:id="129" w:name="_Toc422385751"/>
      <w:bookmarkStart w:id="130" w:name="_Toc31896"/>
      <w:bookmarkStart w:id="131" w:name="_Toc955"/>
      <w:bookmarkStart w:id="132" w:name="_Toc12408"/>
      <w:bookmarkStart w:id="133" w:name="_Toc413154075"/>
      <w:bookmarkStart w:id="134" w:name="_Toc24845"/>
      <w:bookmarkStart w:id="135" w:name="_Toc30789"/>
      <w:bookmarkStart w:id="136" w:name="_Toc19167"/>
      <w:bookmarkStart w:id="137" w:name="_Toc1319"/>
      <w:bookmarkStart w:id="138" w:name="_Toc17403"/>
      <w:bookmarkStart w:id="139" w:name="_Toc415486322"/>
      <w:bookmarkStart w:id="140" w:name="_Toc16830"/>
      <w:bookmarkStart w:id="141" w:name="_Toc11546"/>
      <w:bookmarkStart w:id="142" w:name="_Toc24514"/>
      <w:r>
        <w:rPr>
          <w:rFonts w:hint="eastAsia" w:ascii="仿宋" w:hAnsi="仿宋" w:eastAsia="仿宋" w:cs="仿宋"/>
          <w:color w:val="auto"/>
          <w:sz w:val="24"/>
          <w:szCs w:val="24"/>
          <w:highlight w:val="none"/>
          <w:lang w:eastAsia="zh-CN"/>
        </w:rPr>
        <w:t>第四条  违约责任</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30B9144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（一）甲方工作人员违反本合同第一、第二条责任行为的，按照管理权限，依据有关法律法规和规定给予党纪政纪处分或组织处理；涉嫌犯罪的，移交司法机关追究刑事责任；</w:t>
      </w:r>
    </w:p>
    <w:p w14:paraId="2C1A810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（二）乙方工作人员违反本合同第一、第三条责任行为的，</w:t>
      </w:r>
      <w:r>
        <w:rPr>
          <w:rFonts w:hint="eastAsia" w:ascii="仿宋" w:hAnsi="仿宋" w:eastAsia="仿宋" w:cs="仿宋"/>
          <w:color w:val="auto"/>
          <w:sz w:val="24"/>
          <w:szCs w:val="24"/>
          <w:highlight w:val="none"/>
          <w:lang w:val="zh-CN" w:eastAsia="zh-CN"/>
        </w:rPr>
        <w:t>有关行政主管部门有权中止工程项目建设合同</w:t>
      </w:r>
      <w:r>
        <w:rPr>
          <w:rFonts w:hint="eastAsia" w:ascii="仿宋" w:hAnsi="仿宋" w:eastAsia="仿宋" w:cs="仿宋"/>
          <w:color w:val="auto"/>
          <w:sz w:val="24"/>
          <w:szCs w:val="24"/>
          <w:highlight w:val="none"/>
          <w:lang w:eastAsia="zh-CN"/>
        </w:rPr>
        <w:t>；涉嫌犯罪的，移交司法机关追究刑事责任；情节严重的，限制乙方不得进入辖区建设市场并在新闻媒体曝光；</w:t>
      </w:r>
    </w:p>
    <w:p w14:paraId="713409F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（三）乙方如将部分辅助项目分包的，有责任向承包方交待本合同的具体内容，并要求其严格执行本合同规定；</w:t>
      </w:r>
    </w:p>
    <w:p w14:paraId="6838E1A5">
      <w:pPr>
        <w:tabs>
          <w:tab w:val="left" w:pos="158"/>
        </w:tabs>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zh-CN" w:eastAsia="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384D8AA0">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（五）甲乙双方人员赠送、贿赂、接受或索要钱物的行为，如果一方发生，另一方当事人应立即主动报告本单位领导，或向纪委、监察局等有关部门举报。</w:t>
      </w:r>
    </w:p>
    <w:p w14:paraId="1A7FBCBB">
      <w:pPr>
        <w:tabs>
          <w:tab w:val="left" w:pos="628"/>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第五条  本合同作为工程合同的附件，与工程施工合同具有同等法律效力，甲乙双方签署后立即生效。</w:t>
      </w:r>
    </w:p>
    <w:p w14:paraId="33EEE8F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第六条  本合同的有效期为双方签署之日起至该工程项目竣工验收合格、工程资金结清时止。</w:t>
      </w:r>
    </w:p>
    <w:p w14:paraId="1A711AE6">
      <w:pPr>
        <w:spacing w:line="360" w:lineRule="auto"/>
        <w:rPr>
          <w:rFonts w:hint="eastAsia" w:ascii="仿宋" w:hAnsi="仿宋" w:eastAsia="仿宋" w:cs="仿宋"/>
          <w:color w:val="auto"/>
          <w:sz w:val="24"/>
          <w:szCs w:val="24"/>
          <w:highlight w:val="none"/>
          <w:lang w:eastAsia="zh-CN"/>
        </w:rPr>
      </w:pPr>
    </w:p>
    <w:p w14:paraId="552E8BB1">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甲方单位：（盖章）                  乙方单位：（盖章）   </w:t>
      </w:r>
    </w:p>
    <w:p w14:paraId="1C33B883">
      <w:pPr>
        <w:spacing w:line="360" w:lineRule="auto"/>
        <w:rPr>
          <w:rFonts w:hint="eastAsia" w:ascii="仿宋" w:hAnsi="仿宋" w:eastAsia="仿宋" w:cs="仿宋"/>
          <w:color w:val="auto"/>
          <w:sz w:val="24"/>
          <w:szCs w:val="24"/>
          <w:highlight w:val="none"/>
          <w:lang w:eastAsia="zh-CN"/>
        </w:rPr>
      </w:pPr>
    </w:p>
    <w:p w14:paraId="5807BAC6">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2B201CF0">
      <w:pPr>
        <w:spacing w:line="360" w:lineRule="auto"/>
        <w:rPr>
          <w:rFonts w:hint="eastAsia" w:ascii="仿宋" w:hAnsi="仿宋" w:eastAsia="仿宋" w:cs="仿宋"/>
          <w:color w:val="auto"/>
          <w:sz w:val="24"/>
          <w:szCs w:val="24"/>
          <w:highlight w:val="none"/>
        </w:rPr>
      </w:pPr>
    </w:p>
    <w:p w14:paraId="69F3171F">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地址：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 xml:space="preserve">      地址：</w:t>
      </w:r>
    </w:p>
    <w:p w14:paraId="62369F6D">
      <w:pPr>
        <w:spacing w:line="360" w:lineRule="auto"/>
        <w:rPr>
          <w:rFonts w:hint="eastAsia" w:ascii="仿宋" w:hAnsi="仿宋" w:eastAsia="仿宋" w:cs="仿宋"/>
          <w:color w:val="auto"/>
          <w:sz w:val="24"/>
          <w:szCs w:val="24"/>
          <w:highlight w:val="none"/>
          <w:lang w:eastAsia="zh-CN"/>
        </w:rPr>
      </w:pPr>
    </w:p>
    <w:p w14:paraId="611E4D28">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 xml:space="preserve">   电话：</w:t>
      </w:r>
    </w:p>
    <w:p w14:paraId="3E439871">
      <w:pPr>
        <w:spacing w:line="360" w:lineRule="auto"/>
        <w:ind w:firstLine="360" w:firstLineChars="15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p>
    <w:p w14:paraId="79C24937">
      <w:pPr>
        <w:spacing w:line="360" w:lineRule="auto"/>
        <w:ind w:firstLine="1080" w:firstLineChars="45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 xml:space="preserve">年   月   日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年   月   日</w:t>
      </w:r>
    </w:p>
    <w:p w14:paraId="2BEC2D2B"/>
    <w:sectPr>
      <w:pgSz w:w="11906" w:h="16838"/>
      <w:pgMar w:top="1440" w:right="1519" w:bottom="1440"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3A56C6"/>
    <w:rsid w:val="2E5F633E"/>
    <w:rsid w:val="7A542F62"/>
    <w:rsid w:val="7C3A56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微软雅黑" w:hAnsi="微软雅黑" w:eastAsia="微软雅黑" w:cs="微软雅黑"/>
      <w:sz w:val="31"/>
      <w:szCs w:val="31"/>
      <w:lang w:val="en-US" w:eastAsia="en-US" w:bidi="ar-SA"/>
    </w:rPr>
  </w:style>
  <w:style w:type="paragraph" w:styleId="3">
    <w:name w:val="Body Text Indent"/>
    <w:basedOn w:val="1"/>
    <w:next w:val="4"/>
    <w:qFormat/>
    <w:uiPriority w:val="0"/>
    <w:pPr>
      <w:widowControl/>
      <w:ind w:firstLine="652" w:firstLineChars="233"/>
    </w:pPr>
    <w:rPr>
      <w:rFonts w:ascii="Times New Roman"/>
      <w:sz w:val="28"/>
    </w:rPr>
  </w:style>
  <w:style w:type="paragraph" w:customStyle="1" w:styleId="4">
    <w:name w:val="font5"/>
    <w:basedOn w:val="1"/>
    <w:qFormat/>
    <w:uiPriority w:val="99"/>
    <w:pPr>
      <w:widowControl/>
      <w:spacing w:before="100" w:beforeAutospacing="1" w:after="100" w:afterAutospacing="1"/>
      <w:jc w:val="left"/>
    </w:pPr>
    <w:rPr>
      <w:rFonts w:hint="eastAsia" w:hAnsi="宋体"/>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5768</Words>
  <Characters>5827</Characters>
  <Lines>0</Lines>
  <Paragraphs>0</Paragraphs>
  <TotalTime>61</TotalTime>
  <ScaleCrop>false</ScaleCrop>
  <LinksUpToDate>false</LinksUpToDate>
  <CharactersWithSpaces>6493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2025-03-19T08:40:00Z</dcterms:created>
  <dc:creator>Glow Curve</dc:creator>
  <cp:lastModifiedBy>娜儿</cp:lastModifiedBy>
  <dcterms:modified xsi:type="dcterms:W3CDTF">2025-11-27T07:39:56Z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E003BFEC2B3C40FB870B0C564404640D_13</vt:lpwstr>
  </property>
  <property fmtid="{D5CDD505-2E9C-101B-9397-08002B2CF9AE}" pid="4" name="KSOTemplateDocerSaveRecord">
    <vt:lpwstr>eyJoZGlkIjoiMTU0YmE4MzUzOWNlMzU4N2UwNDc2NWY1NDIzMzIyNDciLCJ1c2VySWQiOiI1MDU3OTE2NzgifQ==</vt:lpwstr>
  </property>
</Properties>
</file>