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版本号：XBZB-2025-17120251202003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鱼池校区维修改造项目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XBZB-2025-171</w:t>
      </w:r>
      <w:r>
        <w:br/>
      </w:r>
      <w:r>
        <w:br/>
      </w:r>
      <w:r>
        <w:br/>
      </w:r>
    </w:p>
    <w:p>
      <w:pPr>
        <w:pStyle w:val="null3"/>
        <w:jc w:val="center"/>
        <w:outlineLvl w:val="2"/>
      </w:pPr>
      <w:r>
        <w:rPr>
          <w:rFonts w:ascii="仿宋_GB2312" w:hAnsi="仿宋_GB2312" w:cs="仿宋_GB2312" w:eastAsia="仿宋_GB2312"/>
          <w:sz w:val="28"/>
          <w:b/>
        </w:rPr>
        <w:t>铜川市实验中学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铜川市实验中学</w:t>
      </w:r>
      <w:r>
        <w:rPr>
          <w:rFonts w:ascii="仿宋_GB2312" w:hAnsi="仿宋_GB2312" w:cs="仿宋_GB2312" w:eastAsia="仿宋_GB2312"/>
        </w:rPr>
        <w:t>委托，拟对</w:t>
      </w:r>
      <w:r>
        <w:rPr>
          <w:rFonts w:ascii="仿宋_GB2312" w:hAnsi="仿宋_GB2312" w:cs="仿宋_GB2312" w:eastAsia="仿宋_GB2312"/>
        </w:rPr>
        <w:t>鱼池校区维修改造项目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鱼池校区维修改造项目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为改善铜川市实验中学鱼池校区办学条件，提升办学质量，本次建设内容为对铜川市实验中学鱼池校区校园进行维修改造。包括新建大门口卫生间、校园大门和化粪池；改造维修校舍，提升教育教学设施配套等。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采购包1（鱼池校区维修改造项目）：属于专门面向中小企业采购。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2、企业资质：供应商须具备建设行政主管部门颁发的建筑工程施工总承包三级及以上资质，具备有效的安全生产许可证。</w:t>
      </w:r>
    </w:p>
    <w:p>
      <w:pPr>
        <w:pStyle w:val="null3"/>
      </w:pPr>
      <w:r>
        <w:rPr>
          <w:rFonts w:ascii="仿宋_GB2312" w:hAnsi="仿宋_GB2312" w:cs="仿宋_GB2312" w:eastAsia="仿宋_GB2312"/>
        </w:rPr>
        <w:t>3、拟派项目负责人（项目经理）资质 和专业要求：拟派项目经理具有建筑工程专业二级及以上注册建造师证，具备有效的安全生产考核合格证书（建安B证），在本单位注册，且未担任其他在建工程项目的项目经理（提供无在建承诺）。</w:t>
      </w:r>
    </w:p>
    <w:p>
      <w:pPr>
        <w:pStyle w:val="null3"/>
      </w:pPr>
      <w:r>
        <w:rPr>
          <w:rFonts w:ascii="仿宋_GB2312" w:hAnsi="仿宋_GB2312" w:cs="仿宋_GB2312" w:eastAsia="仿宋_GB2312"/>
        </w:rPr>
        <w:t>4、信用信息：供应商未被中国政府采购网（www.ccgp.gov.cn）列入政府采购严重违法失信行为记录名单，未被“信用中国”网站（www.creditchina.gov.cn）列入失信被执行人和重大税收违法失信主体；（以现场查询结果为准）。</w:t>
      </w:r>
    </w:p>
    <w:p>
      <w:pPr>
        <w:pStyle w:val="null3"/>
      </w:pPr>
      <w:r>
        <w:rPr>
          <w:rFonts w:ascii="仿宋_GB2312" w:hAnsi="仿宋_GB2312" w:cs="仿宋_GB2312" w:eastAsia="仿宋_GB2312"/>
        </w:rPr>
        <w:t>5、联合体：本项目不接受联合体磋商，按要求上传相应证明文件并进行电子签章。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铜川市耀州区大唐五路与旺旺路交叉口东 200 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0919-3235031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卫梦艺、王薇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13609126809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采购包1：2,247,362.00元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国家发展改革委办公厅关于招标代理服务收费有关问题的通知》发改办价格〔2003〕857号文，以预算金额为基数，按工程类标准计取。成交/中标供应商在领取中标通知书前，须向采购代理机构一次性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铜川市实验中学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铜川市实验中学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联系人：卫梦艺、王薇</w:t>
      </w:r>
    </w:p>
    <w:p>
      <w:pPr>
        <w:pStyle w:val="null3"/>
      </w:pPr>
      <w:r>
        <w:rPr>
          <w:rFonts w:ascii="仿宋_GB2312" w:hAnsi="仿宋_GB2312" w:cs="仿宋_GB2312" w:eastAsia="仿宋_GB2312"/>
        </w:rPr>
        <w:t>联系电话：13609126809</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2,247,362.00</w:t>
      </w:r>
    </w:p>
    <w:p>
      <w:pPr>
        <w:pStyle w:val="null3"/>
      </w:pPr>
      <w:r>
        <w:rPr>
          <w:rFonts w:ascii="仿宋_GB2312" w:hAnsi="仿宋_GB2312" w:cs="仿宋_GB2312" w:eastAsia="仿宋_GB2312"/>
        </w:rPr>
        <w:t>采购包最高限价（元）: 2,247,362.00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铜川市实验中学鱼池校区改造项目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2,247,362.00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标的名称：铜川市实验中学鱼池校区改造项目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1、工期：自合同签订之日起45日历天。</w:t>
            </w:r>
          </w:p>
          <w:p>
            <w:pPr>
              <w:pStyle w:val="null3"/>
              <w:jc w:val="left"/>
            </w:pPr>
            <w:r>
              <w:rPr>
                <w:rFonts w:ascii="仿宋_GB2312" w:hAnsi="仿宋_GB2312" w:cs="仿宋_GB2312" w:eastAsia="仿宋_GB2312"/>
                <w:sz w:val="21"/>
              </w:rPr>
              <w:t>2、工程地点：铜川市实验中学鱼池校区。</w:t>
            </w:r>
          </w:p>
          <w:p>
            <w:pPr>
              <w:pStyle w:val="null3"/>
            </w:pPr>
            <w:r>
              <w:rPr>
                <w:rFonts w:ascii="仿宋_GB2312" w:hAnsi="仿宋_GB2312" w:cs="仿宋_GB2312" w:eastAsia="仿宋_GB2312"/>
                <w:sz w:val="21"/>
              </w:rPr>
              <w:t>3、质量保修期</w:t>
            </w:r>
            <w:r>
              <w:rPr>
                <w:rFonts w:ascii="仿宋_GB2312" w:hAnsi="仿宋_GB2312" w:cs="仿宋_GB2312" w:eastAsia="仿宋_GB2312"/>
                <w:sz w:val="21"/>
              </w:rPr>
              <w:t>：项目竣工验收合格之日起1年。</w:t>
            </w:r>
          </w:p>
          <w:p>
            <w:pPr>
              <w:pStyle w:val="null3"/>
            </w:pPr>
            <w:r>
              <w:rPr>
                <w:rFonts w:ascii="仿宋_GB2312" w:hAnsi="仿宋_GB2312" w:cs="仿宋_GB2312" w:eastAsia="仿宋_GB2312"/>
                <w:sz w:val="21"/>
              </w:rPr>
              <w:t>4、质量验收标准：符合国家有关规范，确保达到合格。</w:t>
            </w:r>
          </w:p>
          <w:p>
            <w:pPr>
              <w:pStyle w:val="null3"/>
            </w:pPr>
            <w:r>
              <w:rPr>
                <w:rFonts w:ascii="仿宋_GB2312" w:hAnsi="仿宋_GB2312" w:cs="仿宋_GB2312" w:eastAsia="仿宋_GB2312"/>
                <w:sz w:val="21"/>
              </w:rPr>
              <w:t>5、付款方式：合同签订后，乙方向甲方提供合格的税务发票后20日内，甲方向乙方支付合同总金额的40%；项目交工且验收合格后，乙方向甲方提供合格的税务发票后20日内，甲方向乙方支付合同总金额的45%；乙方提交决算报告后，待市财政局决算评审报告完成后，乙方向甲方提供合格的税务发票后20日内支付剩余金额即财政决算总金额减去已支付金额。</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详见采购文件及清单。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报价为完成本项目磋商文件中所提出的工作范围及要求的全部内容，并达到国家及采购人验收标准而产生的所有费用，任何错报、漏报由供应商自行负责。2、供应商在各大平台有被政府或相关部门通报或者在类似活动中存在违法违规行为的，不得参与该合同项下的投标活动。3、由供应商自行踏勘现场，以便查明或核实有关编制响应文件和签订合同所必需的一切资料。4、供应商应承担踏勘现场的责任和风险以及期间发生的一切费用，供应商若因踏勘现场而发生的人身伤亡、财物或其它损失，不论何种原因所造成，采购人和采购代理机构均不负责任。5、成交供应商在领取成交通知书时需提供纸质版响应文件叁份、电子版U盘贰份。纸质版响应文件应与政府采购电子化交易平台中上传的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1.具有独立承担民事责任能力的法人、其他组织或自然人，提供合法有效的统一社会信用代码营业执照（事业单位提供事业单位法人证书，自然人提供身份证明）； 2.财务状况报告：提供经审计的2024年财务审计报告（成立时间至提交响应文件截止时间不足1年的可提供成立后任意时段的资产负债表），或提供响应截止时间前3个月内其基本账户开户银行出具的资信证明（附基本存款账户信息），或财政部门认可的政府采购专业担保机构出具的投标担保函； 3.税收缴纳证明：提供响应截止时间前一年内至少一个月已缴纳的纳税证明或完税证明（任意税种），依法免税的供应商应提供相关文件证明； 4.社会保障资金缴纳证明：提供响应截止时间前一年内至少一个月已缴纳的社会保障资金的凭据（专用收据或社会保险缴纳清单），依法不需要缴纳社会保障资金的供应商应提供相关文件证明； 5.提供具有履行本合同所必需的设备和专业技术能力的声明； 6.参加政府采购活动前3年内在经营活动中没有重大违法记录的书面承诺。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可提供2024年度经审计的财务报告（包含审计报告和所涉及的财务报表和附注）；②可提供2024年度供应商完整的全套财务报表（应当包括资产负债表、利润表、现金流量表、所有者权益变动表）；③可提供响应文件递交截止日前一年内银行出具的资信证明；④供应商注册时间至响应文件递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拟派项目负责人（项目经理）资质 和专业要求</w:t>
            </w:r>
          </w:p>
        </w:tc>
        <w:tc>
          <w:tcPr>
            <w:tcW w:type="dxa" w:w="3322"/>
          </w:tcPr>
          <w:p>
            <w:pPr>
              <w:pStyle w:val="null3"/>
            </w:pPr>
            <w:r>
              <w:rPr>
                <w:rFonts w:ascii="仿宋_GB2312" w:hAnsi="仿宋_GB2312" w:cs="仿宋_GB2312" w:eastAsia="仿宋_GB2312"/>
              </w:rPr>
              <w:t>拟派项目经理具有建筑工程专业二级及以上注册建造师证，具备有效的安全生产考核合格证书（建安B证），在本单位注册，且未担任其他在建工程项目的项目经理（提供无在建承诺）。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供应商未被中国政府采购网（www.ccgp.gov.cn）列入政府采购严重违法失信行为记录名单，未被“信用中国”网站（www.creditchina.gov.cn）列入失信被执行人和重大税收违法失信主体；（以现场查询结果为准）。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已标价工程量清单 中小企业声明函 资格证明文件.docx 施工组织设计.docx 响应文件封面 项目管理机构组成表 残疾人福利性单位声明函 报价函 标的清单 其他资料.docx 供应商类似项目业绩一览表 响应报价表.docx 响应函 主要人员简历表 监狱企业的证明文件 商务响应与说明.docx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施工组织设计.docx 商务响应与说明.docx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不存在法律、法规和采购文件规定的其他无效磋商情形。</w:t>
            </w:r>
          </w:p>
        </w:tc>
        <w:tc>
          <w:tcPr>
            <w:tcW w:type="dxa" w:w="1661"/>
          </w:tcPr>
          <w:p>
            <w:pPr>
              <w:pStyle w:val="null3"/>
            </w:pPr>
            <w:r>
              <w:rPr>
                <w:rFonts w:ascii="仿宋_GB2312" w:hAnsi="仿宋_GB2312" w:cs="仿宋_GB2312" w:eastAsia="仿宋_GB2312"/>
              </w:rPr>
              <w:t>已标价工程量清单 中小企业声明函 资格证明文件.docx 施工组织设计.docx 响应文件封面 项目管理机构组成表 残疾人福利性单位声明函 报价函 标的清单 其他资料.docx 供应商类似项目业绩一览表 响应报价表.docx 响应函 主要人员简历表 监狱企业的证明文件 商务响应与说明.docx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A.方案详细完善、合理可行、针对性强，得8分； B.方案较详细，基本合理可行、有针对性，得6分； C.方案较详细、基本合理可行，针对性欠缺，得4分； D.方案简单，可行性及针对性欠缺，得2分；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A.安全作业方案及安全配套措施完善、合理可行、针对性强，得8分； B.安全作业方案及安全配套措施较合理可行，针对性较强，得6分； C.安全作业方案及安全配套措施基本合理可行，针对性一般，得4分； D.安全作业方案及安全配套措施简单，可行性及针对性欠缺，得2分；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针对本项目提供的文明施工措施进行综合评审。 A.措施详细完善、合理可行、针对性强，得8分； B.措施较详细，基本合理可行、有一定针对性，得6分； C.措施一般、基本合理一般，针对性较欠缺，得4分； D.措施简单，可行性及针对性欠缺，得2分；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针对本项目全部工程内容提供具体的质量保修承诺及保障措施、工期承诺及保障措施、后续服务方案。 以上3部分方案内容全面详细、阐述条理清晰详尽、符合本项目采购需求，能有效保障本项目实施的得12分，每有一项方案缺失扣4分，每一项方案内容存在缺陷扣2分。 说明：缺陷是指①内容不合理、虽有内容但内容稀疏、不完善、内容表述前后不一致；②套用其他项目方案或与项目需求不匹配及其他不利于项目实施的等任意一种情形。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针对本项目的项目组织管理机构配备。 A.人员组织架构完整，岗位设置合理、明确，技术人员专业性、经验性强，得6分； B.人员组织架构有待优化，岗位设置基本合理，技术人员专业性、经验性欠缺，得4分； C.人员组织架构不完整，岗位设置紧张，技术人员专业性、经验性欠缺，得2分；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根据供应商提供的施工机械、设备和材料投入计划等进行评审。 A.主要机械配置齐全，设备型号、参数及用途清晰，针对性强，材料投入合理，得6分； B. 主要机械配置紧张，设备型号、参数及用途基本清晰，缺乏针对性，材料投入基本合理，得4分； C. 主要机械配置紧张，设备型号、参数及用途不清晰，材料投入有欠缺，得2分；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A.劳动力安排详细、合理、充分，组织有序，分工明确，得6分； B.劳动力安排合理、充分，有组织和分工，得4分； C.劳动力安排笼统，得2分；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针对本项目的临时性、阶段性工作及突发事件的应急处理方案。 A.应急处理方案全面、合理、规范、可实施性强，得6分； B.应急处理方案合理，具有一定实施性，得4分； C.应急处理方案基本合理，可实施性欠缺，得2分；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A.描述详细、完整可行、有针对性，得4分； B.描述简单、缺乏针对性，得2分； C.其他或未提供得0分。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供应商2022年1月1日至响应截止时间前类似项目业绩；每提供1份计2分，最高得6分。 业绩证明（时间以合同签订时间为准，须在响应文件中附合同协议书扫描件并加盖单位公章，证明材料不符合要求或未提供的不得分）弄虚作假者，取消其成交资格。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1、经资格和响应性审查合格的响应文件，其最终报价为有效报价。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详见附件：商务响应与说明.docx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