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B944D2">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仿宋" w:hAnsi="仿宋" w:eastAsia="仿宋" w:cs="仿宋"/>
          <w:b/>
          <w:bCs/>
          <w:sz w:val="32"/>
          <w:szCs w:val="28"/>
          <w:highlight w:val="none"/>
          <w:lang w:eastAsia="zh-CN"/>
        </w:rPr>
      </w:pPr>
      <w:r>
        <w:rPr>
          <w:rFonts w:hint="eastAsia" w:ascii="仿宋" w:hAnsi="仿宋" w:eastAsia="仿宋" w:cs="仿宋"/>
          <w:b/>
          <w:bCs/>
          <w:sz w:val="32"/>
          <w:szCs w:val="28"/>
          <w:highlight w:val="none"/>
          <w:lang w:eastAsia="zh-CN"/>
        </w:rPr>
        <w:t>合同条款及格式</w:t>
      </w:r>
    </w:p>
    <w:p w14:paraId="32ACD3D1">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default" w:ascii="仿宋" w:hAnsi="仿宋" w:eastAsia="仿宋" w:cs="仿宋"/>
          <w:b/>
          <w:bCs/>
          <w:sz w:val="21"/>
          <w:szCs w:val="21"/>
          <w:highlight w:val="none"/>
          <w:lang w:val="en-US" w:eastAsia="zh-CN"/>
        </w:rPr>
      </w:pPr>
      <w:r>
        <w:rPr>
          <w:rFonts w:hint="eastAsia" w:ascii="仿宋" w:hAnsi="仿宋" w:eastAsia="仿宋" w:cs="仿宋"/>
          <w:b/>
          <w:bCs/>
          <w:sz w:val="21"/>
          <w:szCs w:val="21"/>
          <w:highlight w:val="none"/>
          <w:lang w:val="en-US" w:eastAsia="zh-CN"/>
        </w:rPr>
        <w:t>以甲乙双方最终签订的合同为准</w:t>
      </w:r>
    </w:p>
    <w:p w14:paraId="34D00BF6">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甲方（</w:t>
      </w:r>
      <w:r>
        <w:rPr>
          <w:rFonts w:hint="eastAsia" w:ascii="仿宋" w:hAnsi="仿宋" w:eastAsia="仿宋" w:cs="仿宋"/>
          <w:bCs/>
          <w:color w:val="auto"/>
          <w:sz w:val="24"/>
          <w:szCs w:val="24"/>
          <w:highlight w:val="none"/>
          <w:lang w:eastAsia="zh-CN"/>
        </w:rPr>
        <w:t>招标人</w:t>
      </w:r>
      <w:r>
        <w:rPr>
          <w:rFonts w:hint="eastAsia" w:ascii="仿宋" w:hAnsi="仿宋" w:eastAsia="仿宋" w:cs="仿宋"/>
          <w:bCs/>
          <w:color w:val="auto"/>
          <w:sz w:val="24"/>
          <w:szCs w:val="24"/>
          <w:highlight w:val="none"/>
        </w:rPr>
        <w:t>）：</w:t>
      </w:r>
      <w:bookmarkStart w:id="0" w:name="_GoBack"/>
      <w:bookmarkEnd w:id="0"/>
    </w:p>
    <w:p w14:paraId="1609096D">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乙方（</w:t>
      </w:r>
      <w:r>
        <w:rPr>
          <w:rFonts w:hint="eastAsia" w:ascii="仿宋" w:hAnsi="仿宋" w:eastAsia="仿宋" w:cs="仿宋"/>
          <w:bCs/>
          <w:color w:val="auto"/>
          <w:sz w:val="24"/>
          <w:szCs w:val="24"/>
          <w:highlight w:val="none"/>
          <w:lang w:eastAsia="zh-CN"/>
        </w:rPr>
        <w:t>成交供应商</w:t>
      </w:r>
      <w:r>
        <w:rPr>
          <w:rFonts w:hint="eastAsia" w:ascii="仿宋" w:hAnsi="仿宋" w:eastAsia="仿宋" w:cs="仿宋"/>
          <w:bCs/>
          <w:color w:val="auto"/>
          <w:sz w:val="24"/>
          <w:szCs w:val="24"/>
          <w:highlight w:val="none"/>
        </w:rPr>
        <w:t xml:space="preserve">）： </w:t>
      </w:r>
    </w:p>
    <w:p w14:paraId="68E6063F">
      <w:pPr>
        <w:keepNext w:val="0"/>
        <w:keepLines w:val="0"/>
        <w:pageBreakBefore w:val="0"/>
        <w:widowControl w:val="0"/>
        <w:kinsoku/>
        <w:wordWrap/>
        <w:overflowPunct/>
        <w:topLinePunct w:val="0"/>
        <w:bidi w:val="0"/>
        <w:snapToGri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u w:val="single"/>
        </w:rPr>
        <w:t>陕西省照金林区地方森林消防队伍营房综合保障设施配套工程</w:t>
      </w:r>
      <w:r>
        <w:rPr>
          <w:rFonts w:hint="eastAsia" w:ascii="仿宋" w:hAnsi="仿宋" w:eastAsia="仿宋" w:cs="仿宋"/>
          <w:bCs/>
          <w:color w:val="auto"/>
          <w:sz w:val="24"/>
          <w:szCs w:val="24"/>
          <w:highlight w:val="none"/>
        </w:rPr>
        <w:t>在</w:t>
      </w:r>
      <w:r>
        <w:rPr>
          <w:rFonts w:hint="eastAsia" w:ascii="仿宋" w:hAnsi="仿宋" w:eastAsia="仿宋" w:cs="仿宋"/>
          <w:bCs/>
          <w:color w:val="auto"/>
          <w:sz w:val="24"/>
          <w:szCs w:val="24"/>
          <w:highlight w:val="none"/>
          <w:u w:val="single"/>
        </w:rPr>
        <w:t>陕西中天泰合项目管理有限公司</w:t>
      </w:r>
      <w:r>
        <w:rPr>
          <w:rFonts w:hint="eastAsia" w:ascii="仿宋" w:hAnsi="仿宋" w:eastAsia="仿宋" w:cs="仿宋"/>
          <w:bCs/>
          <w:color w:val="auto"/>
          <w:sz w:val="24"/>
          <w:szCs w:val="24"/>
          <w:highlight w:val="none"/>
        </w:rPr>
        <w:t>组织</w:t>
      </w:r>
      <w:r>
        <w:rPr>
          <w:rFonts w:hint="eastAsia" w:ascii="仿宋" w:hAnsi="仿宋" w:eastAsia="仿宋" w:cs="仿宋"/>
          <w:bCs/>
          <w:color w:val="auto"/>
          <w:sz w:val="24"/>
          <w:szCs w:val="24"/>
          <w:highlight w:val="none"/>
          <w:lang w:eastAsia="zh-CN"/>
        </w:rPr>
        <w:t>竞争性磋商</w:t>
      </w:r>
      <w:r>
        <w:rPr>
          <w:rFonts w:hint="eastAsia" w:ascii="仿宋" w:hAnsi="仿宋" w:eastAsia="仿宋" w:cs="仿宋"/>
          <w:bCs/>
          <w:color w:val="auto"/>
          <w:sz w:val="24"/>
          <w:szCs w:val="24"/>
          <w:highlight w:val="none"/>
        </w:rPr>
        <w:t>，</w:t>
      </w:r>
      <w:r>
        <w:rPr>
          <w:rFonts w:hint="eastAsia" w:ascii="仿宋" w:hAnsi="仿宋" w:eastAsia="仿宋" w:cs="仿宋"/>
          <w:bCs/>
          <w:color w:val="auto"/>
          <w:sz w:val="24"/>
          <w:szCs w:val="24"/>
          <w:highlight w:val="none"/>
          <w:lang w:eastAsia="zh-CN"/>
        </w:rPr>
        <w:t>铜川市森林消防救援队</w:t>
      </w:r>
      <w:r>
        <w:rPr>
          <w:rFonts w:hint="eastAsia" w:ascii="仿宋" w:hAnsi="仿宋" w:eastAsia="仿宋" w:cs="仿宋"/>
          <w:bCs/>
          <w:color w:val="auto"/>
          <w:sz w:val="24"/>
          <w:szCs w:val="24"/>
          <w:highlight w:val="none"/>
        </w:rPr>
        <w:t>(以下简称“甲方”)确定</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rPr>
        <w:t>（以下简称“乙方”）为</w:t>
      </w:r>
      <w:r>
        <w:rPr>
          <w:rFonts w:hint="eastAsia" w:ascii="仿宋" w:hAnsi="仿宋" w:eastAsia="仿宋" w:cs="仿宋"/>
          <w:bCs/>
          <w:color w:val="auto"/>
          <w:sz w:val="24"/>
          <w:szCs w:val="24"/>
          <w:highlight w:val="none"/>
          <w:lang w:val="en-US" w:eastAsia="zh-CN"/>
        </w:rPr>
        <w:t>本项目</w:t>
      </w:r>
      <w:r>
        <w:rPr>
          <w:rFonts w:hint="eastAsia" w:ascii="仿宋" w:hAnsi="仿宋" w:eastAsia="仿宋" w:cs="仿宋"/>
          <w:bCs/>
          <w:color w:val="auto"/>
          <w:sz w:val="24"/>
          <w:szCs w:val="24"/>
          <w:highlight w:val="none"/>
        </w:rPr>
        <w:t>的</w:t>
      </w:r>
      <w:r>
        <w:rPr>
          <w:rFonts w:hint="eastAsia" w:ascii="仿宋" w:hAnsi="仿宋" w:eastAsia="仿宋" w:cs="仿宋"/>
          <w:bCs/>
          <w:color w:val="auto"/>
          <w:sz w:val="24"/>
          <w:szCs w:val="24"/>
          <w:highlight w:val="none"/>
          <w:lang w:val="en-US" w:eastAsia="zh-CN"/>
        </w:rPr>
        <w:t>成交单位</w:t>
      </w:r>
      <w:r>
        <w:rPr>
          <w:rFonts w:hint="eastAsia" w:ascii="仿宋" w:hAnsi="仿宋" w:eastAsia="仿宋" w:cs="仿宋"/>
          <w:bCs/>
          <w:color w:val="auto"/>
          <w:sz w:val="24"/>
          <w:szCs w:val="24"/>
          <w:highlight w:val="none"/>
        </w:rPr>
        <w:t>。</w:t>
      </w:r>
    </w:p>
    <w:p w14:paraId="14B0C732">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依据《</w:t>
      </w:r>
      <w:r>
        <w:rPr>
          <w:rFonts w:hint="eastAsia" w:ascii="仿宋" w:hAnsi="仿宋" w:eastAsia="仿宋" w:cs="仿宋"/>
          <w:bCs/>
          <w:color w:val="auto"/>
          <w:sz w:val="24"/>
          <w:szCs w:val="24"/>
          <w:highlight w:val="none"/>
          <w:lang w:eastAsia="zh-CN"/>
        </w:rPr>
        <w:t>中华人民共和国民法典</w:t>
      </w:r>
      <w:r>
        <w:rPr>
          <w:rFonts w:hint="eastAsia" w:ascii="仿宋" w:hAnsi="仿宋" w:eastAsia="仿宋" w:cs="仿宋"/>
          <w:bCs/>
          <w:color w:val="auto"/>
          <w:sz w:val="24"/>
          <w:szCs w:val="24"/>
          <w:highlight w:val="none"/>
        </w:rPr>
        <w:t>》和《中华人民共和国政府采购法》，经双方协商按下述条款和条件签署本合同。</w:t>
      </w:r>
    </w:p>
    <w:p w14:paraId="4B905989">
      <w:pPr>
        <w:keepNext w:val="0"/>
        <w:keepLines w:val="0"/>
        <w:pageBreakBefore w:val="0"/>
        <w:widowControl w:val="0"/>
        <w:kinsoku/>
        <w:wordWrap/>
        <w:overflowPunct/>
        <w:topLinePunct w:val="0"/>
        <w:autoSpaceDE w:val="0"/>
        <w:autoSpaceDN w:val="0"/>
        <w:bidi w:val="0"/>
        <w:adjustRightInd w:val="0"/>
        <w:spacing w:line="360" w:lineRule="auto"/>
        <w:ind w:firstLine="482" w:firstLineChars="200"/>
        <w:rPr>
          <w:rFonts w:hint="eastAsia" w:ascii="仿宋" w:hAnsi="仿宋" w:eastAsia="仿宋" w:cs="仿宋"/>
          <w:bCs/>
          <w:color w:val="auto"/>
          <w:sz w:val="24"/>
          <w:szCs w:val="24"/>
          <w:highlight w:val="none"/>
        </w:rPr>
      </w:pPr>
      <w:r>
        <w:rPr>
          <w:rFonts w:hint="eastAsia" w:ascii="仿宋" w:hAnsi="仿宋" w:eastAsia="仿宋" w:cs="仿宋"/>
          <w:b/>
          <w:color w:val="auto"/>
          <w:sz w:val="24"/>
          <w:szCs w:val="24"/>
          <w:highlight w:val="none"/>
        </w:rPr>
        <w:t>一、合同价款</w:t>
      </w:r>
    </w:p>
    <w:p w14:paraId="576D130A">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（一）合同总价款：</w:t>
      </w:r>
      <w:r>
        <w:rPr>
          <w:rFonts w:hint="eastAsia" w:ascii="仿宋" w:hAnsi="仿宋" w:eastAsia="仿宋" w:cs="仿宋"/>
          <w:bCs/>
          <w:color w:val="auto"/>
          <w:sz w:val="24"/>
          <w:szCs w:val="24"/>
          <w:highlight w:val="none"/>
          <w:lang w:eastAsia="zh-CN"/>
        </w:rPr>
        <w:t>大写：</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lang w:val="en-US" w:eastAsia="zh-CN"/>
        </w:rPr>
        <w:t>（￥：</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lang w:val="en-US" w:eastAsia="zh-CN"/>
        </w:rPr>
        <w:t>元）</w:t>
      </w:r>
      <w:r>
        <w:rPr>
          <w:rFonts w:hint="eastAsia" w:ascii="仿宋" w:hAnsi="仿宋" w:eastAsia="仿宋" w:cs="仿宋"/>
          <w:bCs/>
          <w:color w:val="auto"/>
          <w:sz w:val="24"/>
          <w:szCs w:val="24"/>
          <w:highlight w:val="none"/>
        </w:rPr>
        <w:t>。</w:t>
      </w:r>
    </w:p>
    <w:p w14:paraId="5D8FF0EB">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（二）合同总价包括：</w:t>
      </w:r>
      <w:r>
        <w:rPr>
          <w:rFonts w:hint="eastAsia" w:ascii="仿宋" w:hAnsi="仿宋" w:eastAsia="仿宋" w:cs="仿宋"/>
          <w:bCs/>
          <w:color w:val="auto"/>
          <w:sz w:val="24"/>
          <w:szCs w:val="24"/>
          <w:highlight w:val="none"/>
          <w:lang w:eastAsia="zh-CN"/>
        </w:rPr>
        <w:t>工程量清单的全部内容</w:t>
      </w:r>
      <w:r>
        <w:rPr>
          <w:rFonts w:hint="eastAsia" w:ascii="仿宋" w:hAnsi="仿宋" w:eastAsia="仿宋" w:cs="仿宋"/>
          <w:bCs/>
          <w:color w:val="auto"/>
          <w:sz w:val="24"/>
          <w:szCs w:val="24"/>
          <w:highlight w:val="none"/>
        </w:rPr>
        <w:t>。合同价格为含税价。</w:t>
      </w:r>
    </w:p>
    <w:p w14:paraId="469DAE58">
      <w:pPr>
        <w:keepNext w:val="0"/>
        <w:keepLines w:val="0"/>
        <w:pageBreakBefore w:val="0"/>
        <w:widowControl w:val="0"/>
        <w:kinsoku/>
        <w:wordWrap/>
        <w:overflowPunct/>
        <w:topLinePunct w:val="0"/>
        <w:autoSpaceDE w:val="0"/>
        <w:autoSpaceDN w:val="0"/>
        <w:bidi w:val="0"/>
        <w:adjustRightInd w:val="0"/>
        <w:spacing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二、结算方式</w:t>
      </w:r>
    </w:p>
    <w:p w14:paraId="5E41EEF8">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lang w:eastAsia="zh-CN"/>
        </w:rPr>
        <w:t>1、付款条件说明：合同签订后，预付工程款30%，工程完工验收后付至97%，剩余3%质保期结束后一次性付清。</w:t>
      </w:r>
    </w:p>
    <w:p w14:paraId="6ED70A14">
      <w:pPr>
        <w:keepNext w:val="0"/>
        <w:keepLines w:val="0"/>
        <w:pageBreakBefore w:val="0"/>
        <w:widowControl w:val="0"/>
        <w:kinsoku/>
        <w:wordWrap/>
        <w:overflowPunct/>
        <w:topLinePunct w:val="0"/>
        <w:autoSpaceDE w:val="0"/>
        <w:autoSpaceDN w:val="0"/>
        <w:bidi w:val="0"/>
        <w:adjustRightInd w:val="0"/>
        <w:spacing w:line="360" w:lineRule="auto"/>
        <w:ind w:firstLine="482" w:firstLineChars="200"/>
        <w:rPr>
          <w:rFonts w:hint="eastAsia" w:ascii="仿宋" w:hAnsi="仿宋" w:eastAsia="仿宋" w:cs="仿宋"/>
          <w:bCs/>
          <w:color w:val="auto"/>
          <w:sz w:val="24"/>
          <w:szCs w:val="24"/>
          <w:highlight w:val="none"/>
        </w:rPr>
      </w:pPr>
      <w:r>
        <w:rPr>
          <w:rFonts w:hint="eastAsia" w:ascii="仿宋" w:hAnsi="仿宋" w:eastAsia="仿宋" w:cs="仿宋"/>
          <w:b/>
          <w:color w:val="auto"/>
          <w:sz w:val="24"/>
          <w:szCs w:val="24"/>
          <w:highlight w:val="none"/>
        </w:rPr>
        <w:t>三、实施地点及工期：</w:t>
      </w:r>
    </w:p>
    <w:p w14:paraId="3D739853">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仿宋" w:hAnsi="仿宋" w:eastAsia="仿宋" w:cs="仿宋"/>
          <w:b w:val="0"/>
          <w:bCs/>
          <w:color w:val="auto"/>
          <w:spacing w:val="0"/>
          <w:w w:val="100"/>
          <w:position w:val="0"/>
          <w:sz w:val="24"/>
          <w:szCs w:val="24"/>
          <w:highlight w:val="none"/>
          <w:lang w:val="zh-CN"/>
        </w:rPr>
      </w:pPr>
      <w:r>
        <w:rPr>
          <w:rFonts w:hint="eastAsia" w:ascii="仿宋" w:hAnsi="仿宋" w:eastAsia="仿宋" w:cs="仿宋"/>
          <w:b w:val="0"/>
          <w:bCs/>
          <w:color w:val="auto"/>
          <w:sz w:val="24"/>
          <w:szCs w:val="24"/>
          <w:highlight w:val="none"/>
        </w:rPr>
        <w:t>（一）</w:t>
      </w:r>
      <w:r>
        <w:rPr>
          <w:rFonts w:hint="eastAsia" w:ascii="仿宋" w:hAnsi="仿宋" w:eastAsia="仿宋" w:cs="仿宋"/>
          <w:b w:val="0"/>
          <w:bCs/>
          <w:color w:val="auto"/>
          <w:spacing w:val="0"/>
          <w:w w:val="100"/>
          <w:position w:val="0"/>
          <w:sz w:val="24"/>
          <w:szCs w:val="24"/>
          <w:highlight w:val="none"/>
          <w:lang w:val="en-US" w:eastAsia="zh-CN"/>
        </w:rPr>
        <w:t>项目</w:t>
      </w:r>
      <w:r>
        <w:rPr>
          <w:rFonts w:hint="eastAsia" w:ascii="仿宋" w:hAnsi="仿宋" w:eastAsia="仿宋" w:cs="仿宋"/>
          <w:b w:val="0"/>
          <w:bCs/>
          <w:color w:val="auto"/>
          <w:spacing w:val="0"/>
          <w:w w:val="100"/>
          <w:position w:val="0"/>
          <w:sz w:val="24"/>
          <w:szCs w:val="24"/>
          <w:highlight w:val="none"/>
          <w:lang w:val="zh-CN"/>
        </w:rPr>
        <w:t>名称：铜川市森林消防救援队教学楼施工改造项目</w:t>
      </w:r>
    </w:p>
    <w:p w14:paraId="0709C49E">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default" w:ascii="仿宋" w:hAnsi="仿宋" w:eastAsia="仿宋" w:cs="仿宋"/>
          <w:b w:val="0"/>
          <w:bCs/>
          <w:color w:val="auto"/>
          <w:spacing w:val="0"/>
          <w:w w:val="100"/>
          <w:position w:val="0"/>
          <w:sz w:val="24"/>
          <w:szCs w:val="24"/>
          <w:highlight w:val="none"/>
          <w:lang w:val="en-US" w:eastAsia="zh-CN"/>
        </w:rPr>
      </w:pPr>
      <w:r>
        <w:rPr>
          <w:rFonts w:hint="eastAsia" w:ascii="仿宋" w:hAnsi="仿宋" w:eastAsia="仿宋" w:cs="仿宋"/>
          <w:sz w:val="24"/>
          <w:szCs w:val="24"/>
          <w:highlight w:val="none"/>
          <w:lang w:val="en-US" w:eastAsia="zh-CN"/>
        </w:rPr>
        <w:t>（二）工期</w:t>
      </w:r>
      <w:r>
        <w:rPr>
          <w:rFonts w:hint="eastAsia" w:ascii="仿宋" w:hAnsi="仿宋" w:eastAsia="仿宋" w:cs="仿宋"/>
          <w:bCs/>
          <w:sz w:val="24"/>
          <w:szCs w:val="24"/>
          <w:highlight w:val="none"/>
        </w:rPr>
        <w:t>：</w:t>
      </w:r>
      <w:r>
        <w:rPr>
          <w:rFonts w:hint="eastAsia" w:ascii="仿宋" w:hAnsi="仿宋" w:eastAsia="仿宋" w:cs="仿宋"/>
          <w:b w:val="0"/>
          <w:bCs/>
          <w:color w:val="auto"/>
          <w:spacing w:val="0"/>
          <w:w w:val="100"/>
          <w:position w:val="0"/>
          <w:sz w:val="24"/>
          <w:szCs w:val="24"/>
          <w:highlight w:val="none"/>
          <w:lang w:val="zh-CN"/>
        </w:rPr>
        <w:t>自合同签订之日起</w:t>
      </w:r>
      <w:r>
        <w:rPr>
          <w:rFonts w:hint="eastAsia" w:ascii="仿宋" w:hAnsi="仿宋" w:eastAsia="仿宋" w:cs="仿宋"/>
          <w:b w:val="0"/>
          <w:bCs/>
          <w:color w:val="auto"/>
          <w:spacing w:val="0"/>
          <w:w w:val="100"/>
          <w:position w:val="0"/>
          <w:sz w:val="24"/>
          <w:szCs w:val="24"/>
          <w:highlight w:val="none"/>
          <w:lang w:val="en-US" w:eastAsia="zh-CN"/>
        </w:rPr>
        <w:t xml:space="preserve"> 90 </w:t>
      </w:r>
      <w:r>
        <w:rPr>
          <w:rFonts w:hint="eastAsia" w:ascii="仿宋" w:hAnsi="仿宋" w:eastAsia="仿宋" w:cs="仿宋"/>
          <w:b w:val="0"/>
          <w:bCs/>
          <w:color w:val="auto"/>
          <w:spacing w:val="0"/>
          <w:w w:val="100"/>
          <w:position w:val="0"/>
          <w:sz w:val="24"/>
          <w:szCs w:val="24"/>
          <w:highlight w:val="none"/>
          <w:lang w:val="zh-CN"/>
        </w:rPr>
        <w:t>日历天</w:t>
      </w:r>
    </w:p>
    <w:p w14:paraId="1471055E">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仿宋" w:hAnsi="仿宋" w:eastAsia="仿宋" w:cs="仿宋"/>
          <w:b w:val="0"/>
          <w:bCs/>
          <w:color w:val="auto"/>
          <w:spacing w:val="0"/>
          <w:w w:val="100"/>
          <w:position w:val="0"/>
          <w:sz w:val="24"/>
          <w:szCs w:val="24"/>
          <w:highlight w:val="none"/>
          <w:lang w:val="zh-CN"/>
        </w:rPr>
      </w:pPr>
      <w:r>
        <w:rPr>
          <w:rFonts w:hint="eastAsia" w:ascii="仿宋" w:hAnsi="仿宋" w:eastAsia="仿宋" w:cs="仿宋"/>
          <w:b w:val="0"/>
          <w:bCs/>
          <w:color w:val="auto"/>
          <w:spacing w:val="0"/>
          <w:w w:val="100"/>
          <w:position w:val="0"/>
          <w:sz w:val="24"/>
          <w:szCs w:val="24"/>
          <w:highlight w:val="none"/>
          <w:lang w:val="en-US" w:eastAsia="zh-CN"/>
        </w:rPr>
        <w:t>（三）实施</w:t>
      </w:r>
      <w:r>
        <w:rPr>
          <w:rFonts w:hint="eastAsia" w:ascii="仿宋" w:hAnsi="仿宋" w:eastAsia="仿宋" w:cs="仿宋"/>
          <w:b w:val="0"/>
          <w:bCs/>
          <w:color w:val="auto"/>
          <w:spacing w:val="0"/>
          <w:w w:val="100"/>
          <w:position w:val="0"/>
          <w:sz w:val="24"/>
          <w:szCs w:val="24"/>
          <w:highlight w:val="none"/>
          <w:lang w:val="zh-CN"/>
        </w:rPr>
        <w:t>地点：铜川市宜君县太安镇</w:t>
      </w:r>
    </w:p>
    <w:p w14:paraId="314867C3">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default" w:ascii="仿宋" w:hAnsi="仿宋" w:eastAsia="仿宋" w:cs="仿宋"/>
          <w:bCs/>
          <w:sz w:val="24"/>
          <w:szCs w:val="24"/>
          <w:highlight w:val="none"/>
          <w:lang w:val="en-US" w:eastAsia="zh-CN"/>
        </w:rPr>
      </w:pPr>
      <w:r>
        <w:rPr>
          <w:rFonts w:hint="eastAsia" w:ascii="仿宋" w:hAnsi="仿宋" w:eastAsia="仿宋" w:cs="仿宋"/>
          <w:b w:val="0"/>
          <w:bCs/>
          <w:color w:val="auto"/>
          <w:spacing w:val="0"/>
          <w:w w:val="100"/>
          <w:position w:val="0"/>
          <w:sz w:val="24"/>
          <w:szCs w:val="24"/>
          <w:highlight w:val="none"/>
          <w:lang w:val="en-US" w:eastAsia="zh-CN"/>
        </w:rPr>
        <w:t>（四）质保期：自竣工验收合格之日起1年</w:t>
      </w:r>
    </w:p>
    <w:p w14:paraId="28B161D7">
      <w:pPr>
        <w:pStyle w:val="8"/>
        <w:keepNext w:val="0"/>
        <w:keepLines w:val="0"/>
        <w:pageBreakBefore w:val="0"/>
        <w:widowControl w:val="0"/>
        <w:kinsoku/>
        <w:wordWrap/>
        <w:overflowPunct/>
        <w:topLinePunct w:val="0"/>
        <w:autoSpaceDE/>
        <w:autoSpaceDN/>
        <w:bidi w:val="0"/>
        <w:adjustRightInd/>
        <w:snapToGrid/>
        <w:spacing w:line="360" w:lineRule="auto"/>
        <w:ind w:left="0" w:leftChars="0" w:firstLine="482" w:firstLineChars="200"/>
        <w:textAlignment w:val="auto"/>
        <w:rPr>
          <w:rFonts w:hint="eastAsia" w:ascii="仿宋" w:hAnsi="仿宋" w:eastAsia="仿宋" w:cs="仿宋"/>
          <w:b/>
          <w:color w:val="auto"/>
          <w:sz w:val="24"/>
          <w:szCs w:val="24"/>
          <w:highlight w:val="none"/>
          <w:lang w:val="zh-CN"/>
        </w:rPr>
      </w:pPr>
      <w:r>
        <w:rPr>
          <w:rFonts w:hint="eastAsia" w:ascii="仿宋" w:hAnsi="仿宋" w:eastAsia="仿宋" w:cs="仿宋"/>
          <w:b/>
          <w:color w:val="auto"/>
          <w:sz w:val="24"/>
          <w:szCs w:val="24"/>
          <w:highlight w:val="none"/>
          <w:lang w:val="zh-CN"/>
        </w:rPr>
        <w:t>四、质量保证</w:t>
      </w:r>
    </w:p>
    <w:p w14:paraId="1D5C8988">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（一）</w:t>
      </w:r>
      <w:r>
        <w:rPr>
          <w:rFonts w:hint="eastAsia" w:ascii="仿宋" w:hAnsi="仿宋" w:eastAsia="仿宋" w:cs="仿宋"/>
          <w:color w:val="auto"/>
          <w:sz w:val="24"/>
          <w:szCs w:val="24"/>
          <w:highlight w:val="none"/>
          <w:lang w:val="zh-CN"/>
        </w:rPr>
        <w:t>所选材料必须保证质量可靠、进货渠道正常，符合国家环保等相关标准，满足施工要求。</w:t>
      </w:r>
    </w:p>
    <w:p w14:paraId="49872E0F">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（二）</w:t>
      </w:r>
      <w:r>
        <w:rPr>
          <w:rFonts w:hint="eastAsia" w:ascii="仿宋" w:hAnsi="仿宋" w:eastAsia="仿宋" w:cs="仿宋"/>
          <w:color w:val="auto"/>
          <w:sz w:val="24"/>
          <w:szCs w:val="24"/>
          <w:highlight w:val="none"/>
          <w:lang w:val="zh-CN"/>
        </w:rPr>
        <w:t>工程质量符合国家有关规范，确保达到合格。</w:t>
      </w:r>
    </w:p>
    <w:p w14:paraId="68DA9721">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（三）</w:t>
      </w:r>
      <w:r>
        <w:rPr>
          <w:rFonts w:hint="eastAsia" w:ascii="仿宋" w:hAnsi="仿宋" w:eastAsia="仿宋" w:cs="仿宋"/>
          <w:color w:val="auto"/>
          <w:sz w:val="24"/>
          <w:szCs w:val="24"/>
          <w:highlight w:val="none"/>
          <w:lang w:val="zh-CN"/>
        </w:rPr>
        <w:t>该工程项目质量保修期按有关文件规定执行。</w:t>
      </w:r>
    </w:p>
    <w:p w14:paraId="46EFBAF7">
      <w:pPr>
        <w:keepNext w:val="0"/>
        <w:keepLines w:val="0"/>
        <w:pageBreakBefore w:val="0"/>
        <w:widowControl w:val="0"/>
        <w:kinsoku/>
        <w:wordWrap/>
        <w:overflowPunct/>
        <w:topLinePunct w:val="0"/>
        <w:bidi w:val="0"/>
        <w:spacing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五、双方责任</w:t>
      </w:r>
    </w:p>
    <w:p w14:paraId="3E1F5921">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b/>
          <w:color w:val="auto"/>
          <w:sz w:val="24"/>
          <w:szCs w:val="24"/>
          <w:highlight w:val="none"/>
        </w:rPr>
      </w:pPr>
      <w:r>
        <w:rPr>
          <w:rFonts w:hint="eastAsia" w:ascii="仿宋" w:hAnsi="仿宋" w:eastAsia="仿宋" w:cs="仿宋"/>
          <w:color w:val="auto"/>
          <w:sz w:val="24"/>
          <w:szCs w:val="24"/>
          <w:highlight w:val="none"/>
        </w:rPr>
        <w:t>（一）甲方责任：</w:t>
      </w:r>
    </w:p>
    <w:p w14:paraId="00F26FD6">
      <w:pPr>
        <w:keepNext w:val="0"/>
        <w:keepLines w:val="0"/>
        <w:pageBreakBefore w:val="0"/>
        <w:widowControl w:val="0"/>
        <w:kinsoku/>
        <w:wordWrap/>
        <w:overflowPunct/>
        <w:topLinePunct w:val="0"/>
        <w:bidi w:val="0"/>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1、甲方负责施工场地的提供，排除施工障碍的协调。</w:t>
      </w:r>
    </w:p>
    <w:p w14:paraId="71F7FF53">
      <w:pPr>
        <w:keepNext w:val="0"/>
        <w:keepLines w:val="0"/>
        <w:pageBreakBefore w:val="0"/>
        <w:widowControl w:val="0"/>
        <w:kinsoku/>
        <w:wordWrap/>
        <w:overflowPunct/>
        <w:topLinePunct w:val="0"/>
        <w:bidi w:val="0"/>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2、组织设计、设计变更及现场签证，工程结算的审定等工作。</w:t>
      </w:r>
    </w:p>
    <w:p w14:paraId="459BE65A">
      <w:pPr>
        <w:keepNext w:val="0"/>
        <w:keepLines w:val="0"/>
        <w:pageBreakBefore w:val="0"/>
        <w:widowControl w:val="0"/>
        <w:kinsoku/>
        <w:wordWrap/>
        <w:overflowPunct/>
        <w:topLinePunct w:val="0"/>
        <w:bidi w:val="0"/>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3、对工程进度、质量进行监督检查。</w:t>
      </w:r>
    </w:p>
    <w:p w14:paraId="2100B870">
      <w:pPr>
        <w:keepNext w:val="0"/>
        <w:keepLines w:val="0"/>
        <w:pageBreakBefore w:val="0"/>
        <w:widowControl w:val="0"/>
        <w:kinsoku/>
        <w:wordWrap/>
        <w:overflowPunct/>
        <w:topLinePunct w:val="0"/>
        <w:bidi w:val="0"/>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4、组织有关单位对工程进行竣工验收。</w:t>
      </w:r>
    </w:p>
    <w:p w14:paraId="233088F5">
      <w:pPr>
        <w:keepNext w:val="0"/>
        <w:keepLines w:val="0"/>
        <w:pageBreakBefore w:val="0"/>
        <w:widowControl w:val="0"/>
        <w:kinsoku/>
        <w:wordWrap/>
        <w:overflowPunct/>
        <w:topLinePunct w:val="0"/>
        <w:bidi w:val="0"/>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5、按时支付工程款。</w:t>
      </w:r>
    </w:p>
    <w:p w14:paraId="5B03CAB4">
      <w:pPr>
        <w:keepNext w:val="0"/>
        <w:keepLines w:val="0"/>
        <w:pageBreakBefore w:val="0"/>
        <w:widowControl w:val="0"/>
        <w:kinsoku/>
        <w:wordWrap/>
        <w:overflowPunct/>
        <w:topLinePunct w:val="0"/>
        <w:bidi w:val="0"/>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（二） 乙方责任：</w:t>
      </w:r>
    </w:p>
    <w:p w14:paraId="4834689F">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1、负责办理完成项目使用审批手续，负责工程安全文明施工、承担一切风险，满足甲方工程的需要。保证甲方正式投入使用，再无其他费用发生。</w:t>
      </w:r>
    </w:p>
    <w:p w14:paraId="45F6A6FE">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乙方进入甲方要求场地施工，应服从当地对治安、卫生、环保、社会保险等工程建设的统一管理，并按有关规定交纳费用以及因违反相关规定而造成的罚款。乙方按照国家和当地政府有关规定应采取的任何必要安全防护措施已包含在乙方的合同价款当中，甲方不另行支付。竣工后交甲方委托乙方办理项目手续的相关资料等，以备留档。</w:t>
      </w:r>
    </w:p>
    <w:p w14:paraId="67AD686B">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按照设计说明进行施工，确保工程按合同规定的时间如期完工和交付；并应接受甲方代表或委派人员的检查、检验，乙方应为甲方人员检查提供便利条件，对不合格的部分按甲方代表及委派人员的要求返工修改，承担由自身原因导致的返工修改费用，工期不予顺延。</w:t>
      </w:r>
    </w:p>
    <w:p w14:paraId="579FB098">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乙方提供的主要材料、设备必须有质量合格证等相关证件方可用于工程，对材料改变或代用必须经原设计单位同意，并发书面通知和甲方代表签证后，方可用于工程，任何一方认为对方提供的材料需要复检的，应允许复检。经复检符合质量要求的，方可用于工程，其复检费由要求一方承担，不符合质量要求的，应按有关规定处理，其复检费由提供材料、设备一方承担。</w:t>
      </w:r>
    </w:p>
    <w:p w14:paraId="5B44A946">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5、隐蔽工程在覆盖前必须经甲方代表或现场监理代表验收签章后，方可进行下一道工序。</w:t>
      </w:r>
    </w:p>
    <w:p w14:paraId="51BD4A52">
      <w:pPr>
        <w:keepNext w:val="0"/>
        <w:keepLines w:val="0"/>
        <w:pageBreakBefore w:val="0"/>
        <w:widowControl w:val="0"/>
        <w:kinsoku/>
        <w:wordWrap/>
        <w:overflowPunct/>
        <w:topLinePunct w:val="0"/>
        <w:bidi w:val="0"/>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6、遵守甲方施工场地的规章制度和管理，做到安全文明施工，做 好成品保护，对甲方提出的问题应在 24 小时内予以解决或处理；遵守有关施工规范和安全操作规程，如发生安全事故，乙方应及时通知甲方，积极采取有效的补救措施，如因此造成甲方、乙方或第三方人身或财产损失，全部责任由乙方自行承担。</w:t>
      </w:r>
    </w:p>
    <w:p w14:paraId="659E7CCB">
      <w:pPr>
        <w:keepNext w:val="0"/>
        <w:keepLines w:val="0"/>
        <w:pageBreakBefore w:val="0"/>
        <w:widowControl w:val="0"/>
        <w:kinsoku/>
        <w:wordWrap/>
        <w:overflowPunct/>
        <w:topLinePunct w:val="0"/>
        <w:bidi w:val="0"/>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7、采取有效的安全保障措施，确保施工安全，包括悬挂警示标牌、装设围栏、配备安全人员等，并承担事故的全部费用和责任。</w:t>
      </w:r>
    </w:p>
    <w:p w14:paraId="6639C604">
      <w:pPr>
        <w:keepNext w:val="0"/>
        <w:keepLines w:val="0"/>
        <w:pageBreakBefore w:val="0"/>
        <w:widowControl w:val="0"/>
        <w:kinsoku/>
        <w:wordWrap/>
        <w:overflowPunct/>
        <w:topLinePunct w:val="0"/>
        <w:bidi w:val="0"/>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8、工程竣工后提供竣工验收技术资料及竣工图</w:t>
      </w:r>
      <w:r>
        <w:rPr>
          <w:rFonts w:hint="eastAsia" w:ascii="仿宋" w:hAnsi="仿宋" w:eastAsia="仿宋" w:cs="仿宋"/>
          <w:color w:val="auto"/>
          <w:sz w:val="24"/>
          <w:szCs w:val="24"/>
          <w:highlight w:val="none"/>
          <w:u w:val="single"/>
          <w:lang w:val="en-US" w:eastAsia="zh-CN"/>
        </w:rPr>
        <w:t>二</w:t>
      </w:r>
      <w:r>
        <w:rPr>
          <w:rFonts w:hint="eastAsia" w:ascii="仿宋" w:hAnsi="仿宋" w:eastAsia="仿宋" w:cs="仿宋"/>
          <w:color w:val="auto"/>
          <w:sz w:val="24"/>
          <w:szCs w:val="24"/>
          <w:highlight w:val="none"/>
        </w:rPr>
        <w:t>套，办理工程竣工结算手续，参加工程竣工验收。</w:t>
      </w:r>
    </w:p>
    <w:p w14:paraId="42439843">
      <w:pPr>
        <w:keepNext w:val="0"/>
        <w:keepLines w:val="0"/>
        <w:pageBreakBefore w:val="0"/>
        <w:widowControl w:val="0"/>
        <w:kinsoku/>
        <w:wordWrap/>
        <w:overflowPunct/>
        <w:topLinePunct w:val="0"/>
        <w:bidi w:val="0"/>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9、已完工的项目，在交工前乙方应负责保管，清理现场达到建筑物无污染，现场无建筑垃圾。</w:t>
      </w:r>
    </w:p>
    <w:p w14:paraId="16386E4B">
      <w:pPr>
        <w:keepNext w:val="0"/>
        <w:keepLines w:val="0"/>
        <w:pageBreakBefore w:val="0"/>
        <w:widowControl w:val="0"/>
        <w:kinsoku/>
        <w:wordWrap/>
        <w:overflowPunct/>
        <w:topLinePunct w:val="0"/>
        <w:bidi w:val="0"/>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10、本工程不得转包。</w:t>
      </w:r>
    </w:p>
    <w:p w14:paraId="1F99E7A0">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11、乙方应在设备运行过程中，对安全隐患进行全面的不定期检查与维护，并对不按安全规程操作的施工单位及时制止，并报甲方进行处理。</w:t>
      </w:r>
    </w:p>
    <w:p w14:paraId="5D08DD5B">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b/>
          <w:color w:val="auto"/>
          <w:sz w:val="24"/>
          <w:szCs w:val="24"/>
          <w:highlight w:val="none"/>
          <w:lang w:val="zh-CN"/>
        </w:rPr>
      </w:pPr>
      <w:r>
        <w:rPr>
          <w:rFonts w:hint="eastAsia" w:ascii="仿宋" w:hAnsi="仿宋" w:eastAsia="仿宋" w:cs="仿宋"/>
          <w:color w:val="auto"/>
          <w:sz w:val="24"/>
          <w:szCs w:val="24"/>
          <w:highlight w:val="none"/>
        </w:rPr>
        <w:t>12、乙方不能按合同规定的工期竣工的，应向甲方支付违约金，每逾期一日，支付合同总价款万分之二的违约金，造成甲方损失的，还应赔偿甲方损失。</w:t>
      </w:r>
    </w:p>
    <w:p w14:paraId="5FC3E6AC">
      <w:pPr>
        <w:keepNext w:val="0"/>
        <w:keepLines w:val="0"/>
        <w:pageBreakBefore w:val="0"/>
        <w:widowControl w:val="0"/>
        <w:kinsoku/>
        <w:wordWrap/>
        <w:overflowPunct/>
        <w:topLinePunct w:val="0"/>
        <w:bidi w:val="0"/>
        <w:spacing w:line="360" w:lineRule="auto"/>
        <w:ind w:firstLine="482" w:firstLineChars="200"/>
        <w:jc w:val="left"/>
        <w:textAlignment w:val="baseline"/>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六、组成合同的文件</w:t>
      </w:r>
    </w:p>
    <w:p w14:paraId="5022FE39">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1．组成本合同的文件包括：</w:t>
      </w:r>
    </w:p>
    <w:p w14:paraId="32874835">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(1)本合同书</w:t>
      </w:r>
    </w:p>
    <w:p w14:paraId="297BE38E">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成交</w:t>
      </w:r>
      <w:r>
        <w:rPr>
          <w:rFonts w:hint="eastAsia" w:ascii="仿宋" w:hAnsi="仿宋" w:eastAsia="仿宋" w:cs="仿宋"/>
          <w:color w:val="auto"/>
          <w:sz w:val="24"/>
          <w:szCs w:val="24"/>
          <w:highlight w:val="none"/>
        </w:rPr>
        <w:t>通知书</w:t>
      </w:r>
    </w:p>
    <w:p w14:paraId="065A64BA">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eastAsia="zh-CN"/>
        </w:rPr>
        <w:t>磋商</w:t>
      </w:r>
      <w:r>
        <w:rPr>
          <w:rFonts w:hint="eastAsia" w:ascii="仿宋" w:hAnsi="仿宋" w:eastAsia="仿宋" w:cs="仿宋"/>
          <w:color w:val="auto"/>
          <w:sz w:val="24"/>
          <w:szCs w:val="24"/>
          <w:highlight w:val="none"/>
        </w:rPr>
        <w:t>文件及其附件</w:t>
      </w:r>
    </w:p>
    <w:p w14:paraId="5D7CB623">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磋商报价</w:t>
      </w:r>
      <w:r>
        <w:rPr>
          <w:rFonts w:hint="eastAsia" w:ascii="仿宋" w:hAnsi="仿宋" w:eastAsia="仿宋" w:cs="仿宋"/>
          <w:color w:val="auto"/>
          <w:sz w:val="24"/>
          <w:szCs w:val="24"/>
          <w:highlight w:val="none"/>
        </w:rPr>
        <w:t>清单表</w:t>
      </w:r>
    </w:p>
    <w:p w14:paraId="4FEAFE7A">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2．双方有关工程的洽商、变更等书面协议或文件、补充协议书均视为本合同的组成部分。</w:t>
      </w:r>
    </w:p>
    <w:p w14:paraId="5C60DE17">
      <w:pPr>
        <w:keepNext w:val="0"/>
        <w:keepLines w:val="0"/>
        <w:pageBreakBefore w:val="0"/>
        <w:widowControl w:val="0"/>
        <w:kinsoku/>
        <w:wordWrap/>
        <w:overflowPunct/>
        <w:topLinePunct w:val="0"/>
        <w:autoSpaceDE w:val="0"/>
        <w:autoSpaceDN w:val="0"/>
        <w:bidi w:val="0"/>
        <w:adjustRightInd w:val="0"/>
        <w:spacing w:line="360" w:lineRule="auto"/>
        <w:ind w:firstLine="482" w:firstLineChars="200"/>
        <w:rPr>
          <w:rFonts w:hint="eastAsia" w:ascii="仿宋" w:hAnsi="仿宋" w:eastAsia="仿宋" w:cs="仿宋"/>
          <w:b/>
          <w:color w:val="auto"/>
          <w:sz w:val="24"/>
          <w:szCs w:val="24"/>
          <w:highlight w:val="none"/>
          <w:lang w:val="zh-CN"/>
        </w:rPr>
      </w:pPr>
      <w:r>
        <w:rPr>
          <w:rFonts w:hint="eastAsia" w:ascii="仿宋" w:hAnsi="仿宋" w:eastAsia="仿宋" w:cs="仿宋"/>
          <w:b/>
          <w:color w:val="auto"/>
          <w:sz w:val="24"/>
          <w:szCs w:val="24"/>
          <w:highlight w:val="none"/>
          <w:lang w:val="zh-CN"/>
        </w:rPr>
        <w:t>七、验收</w:t>
      </w:r>
    </w:p>
    <w:p w14:paraId="190B7464">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（一）</w:t>
      </w:r>
      <w:r>
        <w:rPr>
          <w:rFonts w:hint="eastAsia" w:ascii="仿宋" w:hAnsi="仿宋" w:eastAsia="仿宋" w:cs="仿宋"/>
          <w:color w:val="auto"/>
          <w:sz w:val="24"/>
          <w:szCs w:val="24"/>
          <w:highlight w:val="none"/>
          <w:lang w:val="zh-CN"/>
        </w:rPr>
        <w:t>主材到现场后，由甲方对其进行验收，确认材料的产地、规格、数量。</w:t>
      </w:r>
    </w:p>
    <w:p w14:paraId="7BCC7DA4">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（二）</w:t>
      </w:r>
      <w:r>
        <w:rPr>
          <w:rFonts w:hint="eastAsia" w:ascii="仿宋" w:hAnsi="仿宋" w:eastAsia="仿宋" w:cs="仿宋"/>
          <w:color w:val="auto"/>
          <w:sz w:val="24"/>
          <w:szCs w:val="24"/>
          <w:highlight w:val="none"/>
          <w:lang w:val="zh-CN"/>
        </w:rPr>
        <w:t>乙方工程完工后，进行自检，合格后准备验收文件，并书面通知甲方。</w:t>
      </w:r>
    </w:p>
    <w:p w14:paraId="7420660D">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（三）</w:t>
      </w:r>
      <w:r>
        <w:rPr>
          <w:rFonts w:hint="eastAsia" w:ascii="仿宋" w:hAnsi="仿宋" w:eastAsia="仿宋" w:cs="仿宋"/>
          <w:color w:val="auto"/>
          <w:sz w:val="24"/>
          <w:szCs w:val="24"/>
          <w:highlight w:val="none"/>
          <w:lang w:val="zh-CN"/>
        </w:rPr>
        <w:t>甲方确认乙方的自检内容，验收合格作为工程的最终认可。</w:t>
      </w:r>
    </w:p>
    <w:p w14:paraId="04944B67">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（四）</w:t>
      </w:r>
      <w:r>
        <w:rPr>
          <w:rFonts w:hint="eastAsia" w:ascii="仿宋" w:hAnsi="仿宋" w:eastAsia="仿宋" w:cs="仿宋"/>
          <w:color w:val="auto"/>
          <w:sz w:val="24"/>
          <w:szCs w:val="24"/>
          <w:highlight w:val="none"/>
          <w:lang w:val="zh-CN"/>
        </w:rPr>
        <w:t>验收依据：</w:t>
      </w:r>
    </w:p>
    <w:p w14:paraId="34534130">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4-1、合同、磋商文件、磋商响应文件及承诺。</w:t>
      </w:r>
    </w:p>
    <w:p w14:paraId="11121629">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4-2、国家相关</w:t>
      </w:r>
      <w:r>
        <w:rPr>
          <w:rFonts w:hint="eastAsia" w:ascii="仿宋" w:hAnsi="仿宋" w:eastAsia="仿宋" w:cs="仿宋"/>
          <w:bCs/>
          <w:color w:val="auto"/>
          <w:sz w:val="24"/>
          <w:szCs w:val="24"/>
          <w:highlight w:val="none"/>
        </w:rPr>
        <w:t>标准、规范及有关技术文件</w:t>
      </w:r>
      <w:r>
        <w:rPr>
          <w:rFonts w:hint="eastAsia" w:ascii="仿宋" w:hAnsi="仿宋" w:eastAsia="仿宋" w:cs="仿宋"/>
          <w:color w:val="auto"/>
          <w:sz w:val="24"/>
          <w:szCs w:val="24"/>
          <w:highlight w:val="none"/>
          <w:lang w:val="zh-CN"/>
        </w:rPr>
        <w:t>。</w:t>
      </w:r>
    </w:p>
    <w:p w14:paraId="128EC492">
      <w:pPr>
        <w:keepNext w:val="0"/>
        <w:keepLines w:val="0"/>
        <w:pageBreakBefore w:val="0"/>
        <w:widowControl w:val="0"/>
        <w:kinsoku/>
        <w:wordWrap/>
        <w:overflowPunct/>
        <w:topLinePunct w:val="0"/>
        <w:bidi w:val="0"/>
        <w:spacing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八、争议的解决方式</w:t>
      </w:r>
    </w:p>
    <w:p w14:paraId="452CB9E1">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合同执行过程中如发生争议，双方应及时协商解决</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协商不成的，按下列方式解决:依法向</w:t>
      </w:r>
      <w:r>
        <w:rPr>
          <w:rFonts w:hint="eastAsia" w:ascii="仿宋" w:hAnsi="仿宋" w:eastAsia="仿宋" w:cs="仿宋"/>
          <w:color w:val="auto"/>
          <w:sz w:val="24"/>
          <w:szCs w:val="24"/>
          <w:highlight w:val="none"/>
          <w:lang w:val="en-US" w:eastAsia="zh-CN"/>
        </w:rPr>
        <w:t>甲方所在地</w:t>
      </w:r>
      <w:r>
        <w:rPr>
          <w:rFonts w:hint="eastAsia" w:ascii="仿宋" w:hAnsi="仿宋" w:eastAsia="仿宋" w:cs="仿宋"/>
          <w:color w:val="auto"/>
          <w:sz w:val="24"/>
          <w:szCs w:val="24"/>
          <w:highlight w:val="none"/>
        </w:rPr>
        <w:t>人民法院起诉。</w:t>
      </w:r>
    </w:p>
    <w:p w14:paraId="2059D69C">
      <w:pPr>
        <w:keepNext w:val="0"/>
        <w:keepLines w:val="0"/>
        <w:pageBreakBefore w:val="0"/>
        <w:widowControl w:val="0"/>
        <w:kinsoku/>
        <w:wordWrap/>
        <w:overflowPunct/>
        <w:topLinePunct w:val="0"/>
        <w:bidi w:val="0"/>
        <w:spacing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九、其他</w:t>
      </w:r>
    </w:p>
    <w:p w14:paraId="09569CBB">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本合同未定事宜，双方可根据具体情况结合有关规定另行签订补充协议，补充协议与本合同具有同等法律效力。</w:t>
      </w:r>
    </w:p>
    <w:p w14:paraId="47CE48D9">
      <w:pPr>
        <w:keepNext w:val="0"/>
        <w:keepLines w:val="0"/>
        <w:pageBreakBefore w:val="0"/>
        <w:widowControl w:val="0"/>
        <w:kinsoku/>
        <w:wordWrap/>
        <w:overflowPunct/>
        <w:topLinePunct w:val="0"/>
        <w:bidi w:val="0"/>
        <w:spacing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十、附则</w:t>
      </w:r>
    </w:p>
    <w:p w14:paraId="4B81DB65">
      <w:pPr>
        <w:keepNext w:val="0"/>
        <w:keepLines w:val="0"/>
        <w:pageBreakBefore w:val="0"/>
        <w:widowControl w:val="0"/>
        <w:tabs>
          <w:tab w:val="left" w:pos="0"/>
        </w:tabs>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（一）本合同一式</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份，甲、乙方各执</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份。</w:t>
      </w:r>
    </w:p>
    <w:p w14:paraId="0EDDDE2C">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pacing w:val="-20"/>
          <w:kern w:val="0"/>
          <w:sz w:val="24"/>
          <w:szCs w:val="24"/>
          <w:highlight w:val="none"/>
        </w:rPr>
      </w:pPr>
      <w:r>
        <w:rPr>
          <w:rFonts w:hint="eastAsia" w:ascii="仿宋" w:hAnsi="仿宋" w:eastAsia="仿宋" w:cs="仿宋"/>
          <w:color w:val="auto"/>
          <w:sz w:val="24"/>
          <w:szCs w:val="24"/>
          <w:highlight w:val="none"/>
        </w:rPr>
        <w:t>（二）合同经双方盖章后生效，各条款执行完毕后终止。</w:t>
      </w:r>
    </w:p>
    <w:tbl>
      <w:tblPr>
        <w:tblStyle w:val="9"/>
        <w:tblW w:w="8403" w:type="dxa"/>
        <w:jc w:val="center"/>
        <w:tblLayout w:type="fixed"/>
        <w:tblCellMar>
          <w:top w:w="0" w:type="dxa"/>
          <w:left w:w="108" w:type="dxa"/>
          <w:bottom w:w="0" w:type="dxa"/>
          <w:right w:w="108" w:type="dxa"/>
        </w:tblCellMar>
      </w:tblPr>
      <w:tblGrid>
        <w:gridCol w:w="4201"/>
        <w:gridCol w:w="4202"/>
      </w:tblGrid>
      <w:tr w14:paraId="11A148EC">
        <w:tblPrEx>
          <w:tblCellMar>
            <w:top w:w="0" w:type="dxa"/>
            <w:left w:w="108" w:type="dxa"/>
            <w:bottom w:w="0" w:type="dxa"/>
            <w:right w:w="108" w:type="dxa"/>
          </w:tblCellMar>
        </w:tblPrEx>
        <w:trPr>
          <w:trHeight w:val="567" w:hRule="exact"/>
          <w:jc w:val="center"/>
        </w:trPr>
        <w:tc>
          <w:tcPr>
            <w:tcW w:w="4201" w:type="dxa"/>
            <w:noWrap/>
            <w:vAlign w:val="center"/>
          </w:tcPr>
          <w:p w14:paraId="6F7F31FD">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甲  方</w:t>
            </w:r>
          </w:p>
        </w:tc>
        <w:tc>
          <w:tcPr>
            <w:tcW w:w="4202" w:type="dxa"/>
            <w:noWrap/>
            <w:vAlign w:val="center"/>
          </w:tcPr>
          <w:p w14:paraId="5B3816CF">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  方</w:t>
            </w:r>
          </w:p>
        </w:tc>
      </w:tr>
      <w:tr w14:paraId="36230B8F">
        <w:tblPrEx>
          <w:tblCellMar>
            <w:top w:w="0" w:type="dxa"/>
            <w:left w:w="108" w:type="dxa"/>
            <w:bottom w:w="0" w:type="dxa"/>
            <w:right w:w="108" w:type="dxa"/>
          </w:tblCellMar>
        </w:tblPrEx>
        <w:trPr>
          <w:trHeight w:val="567" w:hRule="exact"/>
          <w:jc w:val="center"/>
        </w:trPr>
        <w:tc>
          <w:tcPr>
            <w:tcW w:w="4201" w:type="dxa"/>
            <w:noWrap/>
            <w:vAlign w:val="center"/>
          </w:tcPr>
          <w:p w14:paraId="2FF41507">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（盖章）</w:t>
            </w:r>
          </w:p>
        </w:tc>
        <w:tc>
          <w:tcPr>
            <w:tcW w:w="4202" w:type="dxa"/>
            <w:noWrap/>
            <w:vAlign w:val="center"/>
          </w:tcPr>
          <w:p w14:paraId="5842CCA5">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（盖章）</w:t>
            </w:r>
          </w:p>
        </w:tc>
      </w:tr>
      <w:tr w14:paraId="10EE048C">
        <w:tblPrEx>
          <w:tblCellMar>
            <w:top w:w="0" w:type="dxa"/>
            <w:left w:w="108" w:type="dxa"/>
            <w:bottom w:w="0" w:type="dxa"/>
            <w:right w:w="108" w:type="dxa"/>
          </w:tblCellMar>
        </w:tblPrEx>
        <w:trPr>
          <w:trHeight w:val="567" w:hRule="exact"/>
          <w:jc w:val="center"/>
        </w:trPr>
        <w:tc>
          <w:tcPr>
            <w:tcW w:w="4201" w:type="dxa"/>
            <w:noWrap/>
            <w:vAlign w:val="center"/>
          </w:tcPr>
          <w:p w14:paraId="523018DF">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地址： </w:t>
            </w:r>
          </w:p>
        </w:tc>
        <w:tc>
          <w:tcPr>
            <w:tcW w:w="4202" w:type="dxa"/>
            <w:noWrap/>
            <w:vAlign w:val="center"/>
          </w:tcPr>
          <w:p w14:paraId="3643EF9B">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地址：</w:t>
            </w:r>
          </w:p>
        </w:tc>
      </w:tr>
      <w:tr w14:paraId="67CBE444">
        <w:tblPrEx>
          <w:tblCellMar>
            <w:top w:w="0" w:type="dxa"/>
            <w:left w:w="108" w:type="dxa"/>
            <w:bottom w:w="0" w:type="dxa"/>
            <w:right w:w="108" w:type="dxa"/>
          </w:tblCellMar>
        </w:tblPrEx>
        <w:trPr>
          <w:trHeight w:val="567" w:hRule="exact"/>
          <w:jc w:val="center"/>
        </w:trPr>
        <w:tc>
          <w:tcPr>
            <w:tcW w:w="4201" w:type="dxa"/>
            <w:noWrap/>
            <w:vAlign w:val="center"/>
          </w:tcPr>
          <w:p w14:paraId="169F35ED">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邮编：</w:t>
            </w:r>
          </w:p>
        </w:tc>
        <w:tc>
          <w:tcPr>
            <w:tcW w:w="4202" w:type="dxa"/>
            <w:noWrap/>
            <w:vAlign w:val="center"/>
          </w:tcPr>
          <w:p w14:paraId="0EC5670C">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邮编：</w:t>
            </w:r>
          </w:p>
        </w:tc>
      </w:tr>
      <w:tr w14:paraId="75E3949A">
        <w:tblPrEx>
          <w:tblCellMar>
            <w:top w:w="0" w:type="dxa"/>
            <w:left w:w="108" w:type="dxa"/>
            <w:bottom w:w="0" w:type="dxa"/>
            <w:right w:w="108" w:type="dxa"/>
          </w:tblCellMar>
        </w:tblPrEx>
        <w:trPr>
          <w:trHeight w:val="567" w:hRule="exact"/>
          <w:jc w:val="center"/>
        </w:trPr>
        <w:tc>
          <w:tcPr>
            <w:tcW w:w="4201" w:type="dxa"/>
            <w:noWrap/>
            <w:vAlign w:val="center"/>
          </w:tcPr>
          <w:p w14:paraId="47632272">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法定代表人： </w:t>
            </w:r>
          </w:p>
        </w:tc>
        <w:tc>
          <w:tcPr>
            <w:tcW w:w="4202" w:type="dxa"/>
            <w:noWrap/>
            <w:vAlign w:val="center"/>
          </w:tcPr>
          <w:p w14:paraId="5EEC6D33">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w:t>
            </w:r>
          </w:p>
        </w:tc>
      </w:tr>
      <w:tr w14:paraId="6D0E2D32">
        <w:tblPrEx>
          <w:tblCellMar>
            <w:top w:w="0" w:type="dxa"/>
            <w:left w:w="108" w:type="dxa"/>
            <w:bottom w:w="0" w:type="dxa"/>
            <w:right w:w="108" w:type="dxa"/>
          </w:tblCellMar>
        </w:tblPrEx>
        <w:trPr>
          <w:trHeight w:val="567" w:hRule="exact"/>
          <w:jc w:val="center"/>
        </w:trPr>
        <w:tc>
          <w:tcPr>
            <w:tcW w:w="4201" w:type="dxa"/>
            <w:noWrap/>
            <w:vAlign w:val="center"/>
          </w:tcPr>
          <w:p w14:paraId="09CC8B54">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被授权代表：</w:t>
            </w:r>
          </w:p>
        </w:tc>
        <w:tc>
          <w:tcPr>
            <w:tcW w:w="4202" w:type="dxa"/>
            <w:noWrap/>
            <w:vAlign w:val="center"/>
          </w:tcPr>
          <w:p w14:paraId="688F08F2">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被授权代表：</w:t>
            </w:r>
          </w:p>
        </w:tc>
      </w:tr>
      <w:tr w14:paraId="6A87E9D5">
        <w:tblPrEx>
          <w:tblCellMar>
            <w:top w:w="0" w:type="dxa"/>
            <w:left w:w="108" w:type="dxa"/>
            <w:bottom w:w="0" w:type="dxa"/>
            <w:right w:w="108" w:type="dxa"/>
          </w:tblCellMar>
        </w:tblPrEx>
        <w:trPr>
          <w:trHeight w:val="567" w:hRule="exact"/>
          <w:jc w:val="center"/>
        </w:trPr>
        <w:tc>
          <w:tcPr>
            <w:tcW w:w="4201" w:type="dxa"/>
            <w:noWrap/>
            <w:vAlign w:val="center"/>
          </w:tcPr>
          <w:p w14:paraId="673A7346">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电话：</w:t>
            </w:r>
          </w:p>
        </w:tc>
        <w:tc>
          <w:tcPr>
            <w:tcW w:w="4202" w:type="dxa"/>
            <w:noWrap/>
            <w:vAlign w:val="center"/>
          </w:tcPr>
          <w:p w14:paraId="2681592A">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电话：</w:t>
            </w:r>
          </w:p>
        </w:tc>
      </w:tr>
      <w:tr w14:paraId="181CF8A2">
        <w:tblPrEx>
          <w:tblCellMar>
            <w:top w:w="0" w:type="dxa"/>
            <w:left w:w="108" w:type="dxa"/>
            <w:bottom w:w="0" w:type="dxa"/>
            <w:right w:w="108" w:type="dxa"/>
          </w:tblCellMar>
        </w:tblPrEx>
        <w:trPr>
          <w:trHeight w:val="567" w:hRule="exact"/>
          <w:jc w:val="center"/>
        </w:trPr>
        <w:tc>
          <w:tcPr>
            <w:tcW w:w="4201" w:type="dxa"/>
            <w:noWrap/>
            <w:vAlign w:val="center"/>
          </w:tcPr>
          <w:p w14:paraId="1C7EC184">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传真：</w:t>
            </w:r>
          </w:p>
        </w:tc>
        <w:tc>
          <w:tcPr>
            <w:tcW w:w="4202" w:type="dxa"/>
            <w:noWrap/>
            <w:vAlign w:val="center"/>
          </w:tcPr>
          <w:p w14:paraId="4B26764D">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传真：</w:t>
            </w:r>
          </w:p>
        </w:tc>
      </w:tr>
      <w:tr w14:paraId="44E6A5F4">
        <w:tblPrEx>
          <w:tblCellMar>
            <w:top w:w="0" w:type="dxa"/>
            <w:left w:w="108" w:type="dxa"/>
            <w:bottom w:w="0" w:type="dxa"/>
            <w:right w:w="108" w:type="dxa"/>
          </w:tblCellMar>
        </w:tblPrEx>
        <w:trPr>
          <w:trHeight w:val="567" w:hRule="exact"/>
          <w:jc w:val="center"/>
        </w:trPr>
        <w:tc>
          <w:tcPr>
            <w:tcW w:w="4201" w:type="dxa"/>
            <w:noWrap/>
            <w:vAlign w:val="center"/>
          </w:tcPr>
          <w:p w14:paraId="165344EB">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开户银行：</w:t>
            </w:r>
          </w:p>
        </w:tc>
        <w:tc>
          <w:tcPr>
            <w:tcW w:w="4202" w:type="dxa"/>
            <w:noWrap/>
            <w:vAlign w:val="center"/>
          </w:tcPr>
          <w:p w14:paraId="56BECE28">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开户银行：</w:t>
            </w:r>
          </w:p>
        </w:tc>
      </w:tr>
      <w:tr w14:paraId="47BB4C79">
        <w:tblPrEx>
          <w:tblCellMar>
            <w:top w:w="0" w:type="dxa"/>
            <w:left w:w="108" w:type="dxa"/>
            <w:bottom w:w="0" w:type="dxa"/>
            <w:right w:w="108" w:type="dxa"/>
          </w:tblCellMar>
        </w:tblPrEx>
        <w:trPr>
          <w:trHeight w:val="567" w:hRule="exact"/>
          <w:jc w:val="center"/>
        </w:trPr>
        <w:tc>
          <w:tcPr>
            <w:tcW w:w="4201" w:type="dxa"/>
            <w:noWrap/>
            <w:vAlign w:val="center"/>
          </w:tcPr>
          <w:p w14:paraId="465B6E34">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日期：</w:t>
            </w:r>
          </w:p>
        </w:tc>
        <w:tc>
          <w:tcPr>
            <w:tcW w:w="4202" w:type="dxa"/>
            <w:noWrap/>
            <w:vAlign w:val="center"/>
          </w:tcPr>
          <w:p w14:paraId="7E35FA14">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日期：</w:t>
            </w:r>
          </w:p>
        </w:tc>
      </w:tr>
    </w:tbl>
    <w:p w14:paraId="611D3010">
      <w:pPr>
        <w:pStyle w:val="14"/>
        <w:keepNext w:val="0"/>
        <w:keepLines w:val="0"/>
        <w:pageBreakBefore w:val="0"/>
        <w:kinsoku/>
        <w:wordWrap/>
        <w:overflowPunct/>
        <w:topLinePunct w:val="0"/>
        <w:autoSpaceDE/>
        <w:autoSpaceDN/>
        <w:bidi w:val="0"/>
        <w:adjustRightInd/>
        <w:snapToGrid/>
        <w:spacing w:line="300" w:lineRule="auto"/>
        <w:textAlignment w:val="auto"/>
        <w:rPr>
          <w:rFonts w:hint="eastAsia" w:ascii="仿宋" w:hAnsi="仿宋" w:eastAsia="仿宋" w:cs="仿宋"/>
          <w:highlight w:val="none"/>
          <w:lang w:val="en-US" w:eastAsia="zh-Hans"/>
        </w:rPr>
      </w:pPr>
    </w:p>
    <w:p w14:paraId="429D7841"/>
    <w:sectPr>
      <w:footerReference r:id="rId3" w:type="default"/>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Garamond">
    <w:panose1 w:val="02020404030301010803"/>
    <w:charset w:val="00"/>
    <w:family w:val="roman"/>
    <w:pitch w:val="default"/>
    <w:sig w:usb0="00000287" w:usb1="00000000" w:usb2="00000000" w:usb3="00000000" w:csb0="0000009F" w:csb1="DFD7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333C8B">
    <w:pPr>
      <w:spacing w:line="209" w:lineRule="auto"/>
      <w:ind w:left="3762"/>
      <w:rPr>
        <w:rFonts w:ascii="宋体" w:hAnsi="宋体" w:eastAsia="宋体" w:cs="宋体"/>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1" name="文本框 4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6CC3C9A">
                          <w:pPr>
                            <w:pStyle w:val="7"/>
                          </w:pPr>
                          <w:r>
                            <w:t xml:space="preserve">第 </w:t>
                          </w:r>
                          <w:r>
                            <w:fldChar w:fldCharType="begin"/>
                          </w:r>
                          <w:r>
                            <w:instrText xml:space="preserve"> PAGE  \* MERGEFORMAT </w:instrText>
                          </w:r>
                          <w:r>
                            <w:fldChar w:fldCharType="separate"/>
                          </w:r>
                          <w:r>
                            <w:t>32</w:t>
                          </w:r>
                          <w:r>
                            <w:fldChar w:fldCharType="end"/>
                          </w:r>
                          <w:r>
                            <w:t xml:space="preserve"> 页 共 </w:t>
                          </w:r>
                          <w:r>
                            <w:fldChar w:fldCharType="begin"/>
                          </w:r>
                          <w:r>
                            <w:instrText xml:space="preserve"> NUMPAGES  \* MERGEFORMAT </w:instrText>
                          </w:r>
                          <w:r>
                            <w:fldChar w:fldCharType="separate"/>
                          </w:r>
                          <w:r>
                            <w:t>63</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xhYO8zAgAAYwQAAA4AAAAAAAAAAQAgAAAAHwEAAGRycy9lMm9Eb2MueG1sUEsF&#10;BgAAAAAGAAYAWQEAAMQFAAAAAA==&#10;">
              <v:fill on="f" focussize="0,0"/>
              <v:stroke on="f" weight="0.5pt"/>
              <v:imagedata o:title=""/>
              <o:lock v:ext="edit" aspectratio="f"/>
              <v:textbox inset="0mm,0mm,0mm,0mm" style="mso-fit-shape-to-text:t;">
                <w:txbxContent>
                  <w:p w14:paraId="16CC3C9A">
                    <w:pPr>
                      <w:pStyle w:val="7"/>
                    </w:pPr>
                    <w:r>
                      <w:t xml:space="preserve">第 </w:t>
                    </w:r>
                    <w:r>
                      <w:fldChar w:fldCharType="begin"/>
                    </w:r>
                    <w:r>
                      <w:instrText xml:space="preserve"> PAGE  \* MERGEFORMAT </w:instrText>
                    </w:r>
                    <w:r>
                      <w:fldChar w:fldCharType="separate"/>
                    </w:r>
                    <w:r>
                      <w:t>32</w:t>
                    </w:r>
                    <w:r>
                      <w:fldChar w:fldCharType="end"/>
                    </w:r>
                    <w:r>
                      <w:t xml:space="preserve"> 页 共 </w:t>
                    </w:r>
                    <w:r>
                      <w:fldChar w:fldCharType="begin"/>
                    </w:r>
                    <w:r>
                      <w:instrText xml:space="preserve"> NUMPAGES  \* MERGEFORMAT </w:instrText>
                    </w:r>
                    <w:r>
                      <w:fldChar w:fldCharType="separate"/>
                    </w:r>
                    <w:r>
                      <w:t>63</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A470FF1"/>
    <w:rsid w:val="08B50556"/>
    <w:rsid w:val="08F1073B"/>
    <w:rsid w:val="09317E9F"/>
    <w:rsid w:val="0A3864D3"/>
    <w:rsid w:val="0DAF4501"/>
    <w:rsid w:val="22F42C65"/>
    <w:rsid w:val="28A87343"/>
    <w:rsid w:val="39E73A45"/>
    <w:rsid w:val="3A470FF1"/>
    <w:rsid w:val="47E17BFB"/>
    <w:rsid w:val="52735C28"/>
    <w:rsid w:val="54C52422"/>
    <w:rsid w:val="70342CA5"/>
    <w:rsid w:val="78240EAC"/>
    <w:rsid w:val="7D7D4E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qFormat="1"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toa heading"/>
    <w:basedOn w:val="1"/>
    <w:next w:val="1"/>
    <w:semiHidden/>
    <w:qFormat/>
    <w:uiPriority w:val="0"/>
    <w:pPr>
      <w:keepNext/>
      <w:widowControl/>
      <w:spacing w:line="720" w:lineRule="atLeast"/>
      <w:jc w:val="left"/>
    </w:pPr>
    <w:rPr>
      <w:rFonts w:ascii="Garamond" w:hAnsi="Garamond"/>
      <w:caps/>
      <w:spacing w:val="-10"/>
      <w:kern w:val="28"/>
      <w:sz w:val="22"/>
    </w:rPr>
  </w:style>
  <w:style w:type="paragraph" w:styleId="4">
    <w:name w:val="Body Text"/>
    <w:basedOn w:val="1"/>
    <w:next w:val="1"/>
    <w:semiHidden/>
    <w:qFormat/>
    <w:uiPriority w:val="0"/>
    <w:rPr>
      <w:rFonts w:ascii="Arial" w:hAnsi="Arial" w:eastAsia="Arial" w:cs="Arial"/>
      <w:sz w:val="21"/>
      <w:szCs w:val="21"/>
      <w:lang w:val="en-US" w:eastAsia="en-US" w:bidi="ar-SA"/>
    </w:rPr>
  </w:style>
  <w:style w:type="paragraph" w:styleId="5">
    <w:name w:val="Body Text Indent"/>
    <w:basedOn w:val="1"/>
    <w:next w:val="1"/>
    <w:qFormat/>
    <w:uiPriority w:val="0"/>
    <w:pPr>
      <w:spacing w:line="640" w:lineRule="exact"/>
      <w:ind w:firstLine="585"/>
    </w:pPr>
    <w:rPr>
      <w:rFonts w:ascii="楷体_GB2312" w:eastAsia="楷体_GB2312"/>
      <w:sz w:val="32"/>
    </w:rPr>
  </w:style>
  <w:style w:type="paragraph" w:styleId="6">
    <w:name w:val="List Continue"/>
    <w:basedOn w:val="1"/>
    <w:next w:val="4"/>
    <w:qFormat/>
    <w:uiPriority w:val="0"/>
    <w:pPr>
      <w:ind w:left="720" w:right="720" w:firstLine="0"/>
    </w:pPr>
  </w:style>
  <w:style w:type="paragraph" w:styleId="7">
    <w:name w:val="footer"/>
    <w:basedOn w:val="1"/>
    <w:next w:val="6"/>
    <w:qFormat/>
    <w:uiPriority w:val="0"/>
    <w:pPr>
      <w:tabs>
        <w:tab w:val="center" w:pos="4153"/>
        <w:tab w:val="right" w:pos="8306"/>
      </w:tabs>
      <w:snapToGrid w:val="0"/>
      <w:jc w:val="left"/>
    </w:pPr>
    <w:rPr>
      <w:sz w:val="18"/>
    </w:rPr>
  </w:style>
  <w:style w:type="paragraph" w:styleId="8">
    <w:name w:val="Body Text First Indent 2"/>
    <w:basedOn w:val="5"/>
    <w:next w:val="1"/>
    <w:qFormat/>
    <w:uiPriority w:val="0"/>
    <w:pPr>
      <w:ind w:firstLine="420" w:firstLineChars="200"/>
    </w:p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2">
    <w:name w:val="Table Normal"/>
    <w:semiHidden/>
    <w:unhideWhenUsed/>
    <w:qFormat/>
    <w:uiPriority w:val="0"/>
    <w:tblPr>
      <w:tblCellMar>
        <w:top w:w="0" w:type="dxa"/>
        <w:left w:w="0" w:type="dxa"/>
        <w:bottom w:w="0" w:type="dxa"/>
        <w:right w:w="0" w:type="dxa"/>
      </w:tblCellMar>
    </w:tblPr>
  </w:style>
  <w:style w:type="paragraph" w:customStyle="1" w:styleId="13">
    <w:name w:val="Table Text"/>
    <w:basedOn w:val="1"/>
    <w:semiHidden/>
    <w:qFormat/>
    <w:uiPriority w:val="0"/>
    <w:rPr>
      <w:rFonts w:ascii="宋体" w:hAnsi="宋体" w:eastAsia="宋体" w:cs="宋体"/>
      <w:sz w:val="19"/>
      <w:szCs w:val="19"/>
      <w:lang w:val="en-US" w:eastAsia="en-US" w:bidi="ar-SA"/>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2011</Words>
  <Characters>2033</Characters>
  <Lines>0</Lines>
  <Paragraphs>0</Paragraphs>
  <TotalTime>0</TotalTime>
  <ScaleCrop>false</ScaleCrop>
  <LinksUpToDate>false</LinksUpToDate>
  <CharactersWithSpaces>2078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2025-08-22T07:29:00Z</dcterms:created>
  <dc:creator>陕西笃信招标有限公司</dc:creator>
  <cp:lastModifiedBy>47123</cp:lastModifiedBy>
  <dcterms:modified xsi:type="dcterms:W3CDTF">2025-11-26T13:08:20Z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B6BDE184679A4BF89A586BC56549F465_13</vt:lpwstr>
  </property>
  <property fmtid="{D5CDD505-2E9C-101B-9397-08002B2CF9AE}" pid="4" name="KSOTemplateDocerSaveRecord">
    <vt:lpwstr>eyJoZGlkIjoiYmY5MTQyMmZkNmQ3YzU4OTUxZGM4ODBmMzk3MDc4NTYiLCJ1c2VySWQiOiIyNDI5NDI5NTMifQ==</vt:lpwstr>
  </property>
</Properties>
</file>