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版本号：ZTTH-2025-112620251126001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陕西省照金林区地方森林消防队伍营房综合保障设施配套工程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ZTTH-2025-1126</w:t>
      </w:r>
      <w:r>
        <w:br/>
      </w:r>
      <w:r>
        <w:br/>
      </w:r>
      <w:r>
        <w:br/>
      </w:r>
    </w:p>
    <w:p>
      <w:pPr>
        <w:pStyle w:val="null3"/>
        <w:jc w:val="center"/>
        <w:outlineLvl w:val="2"/>
      </w:pPr>
      <w:r>
        <w:rPr>
          <w:rFonts w:ascii="仿宋_GB2312" w:hAnsi="仿宋_GB2312" w:cs="仿宋_GB2312" w:eastAsia="仿宋_GB2312"/>
          <w:sz w:val="28"/>
          <w:b/>
        </w:rPr>
        <w:t>铜川市森林消防救援队</w:t>
      </w:r>
    </w:p>
    <w:p>
      <w:pPr>
        <w:pStyle w:val="null3"/>
        <w:jc w:val="center"/>
        <w:outlineLvl w:val="2"/>
      </w:pPr>
      <w:r>
        <w:rPr>
          <w:rFonts w:ascii="仿宋_GB2312" w:hAnsi="仿宋_GB2312" w:cs="仿宋_GB2312" w:eastAsia="仿宋_GB2312"/>
          <w:sz w:val="28"/>
          <w:b/>
        </w:rPr>
        <w:t>陕西中天泰合项目管理有限公司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陕西中天泰合项目管理有限公司</w:t>
      </w:r>
      <w:r>
        <w:rPr>
          <w:rFonts w:ascii="仿宋_GB2312" w:hAnsi="仿宋_GB2312" w:cs="仿宋_GB2312" w:eastAsia="仿宋_GB2312"/>
        </w:rPr>
        <w:t>（以下简称“代理机构”）受</w:t>
      </w:r>
      <w:r>
        <w:rPr>
          <w:rFonts w:ascii="仿宋_GB2312" w:hAnsi="仿宋_GB2312" w:cs="仿宋_GB2312" w:eastAsia="仿宋_GB2312"/>
        </w:rPr>
        <w:t>铜川市森林消防救援队</w:t>
      </w:r>
      <w:r>
        <w:rPr>
          <w:rFonts w:ascii="仿宋_GB2312" w:hAnsi="仿宋_GB2312" w:cs="仿宋_GB2312" w:eastAsia="仿宋_GB2312"/>
        </w:rPr>
        <w:t>委托，拟对</w:t>
      </w:r>
      <w:r>
        <w:rPr>
          <w:rFonts w:ascii="仿宋_GB2312" w:hAnsi="仿宋_GB2312" w:cs="仿宋_GB2312" w:eastAsia="仿宋_GB2312"/>
        </w:rPr>
        <w:t>陕西省照金林区地方森林消防队伍营房综合保障设施配套工程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ZTTH-2025-1126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陕西省照金林区地方森林消防队伍营房综合保障设施配套工程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新增体能训练室、晾衣房、营区路灯安装及主管道)净水设备安装等。具体详见工程量清单、图纸。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采购包1（陕西省照金林区地方森林消防队伍营房综合保障设施配套工程）：属于专门面向中小企业采购。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2、企业资质 ：具备建设行政主管部门颁发的建筑工程施工总承包三级及以上资质，并具有有效的安全生产许可证。</w:t>
      </w:r>
    </w:p>
    <w:p>
      <w:pPr>
        <w:pStyle w:val="null3"/>
      </w:pPr>
      <w:r>
        <w:rPr>
          <w:rFonts w:ascii="仿宋_GB2312" w:hAnsi="仿宋_GB2312" w:cs="仿宋_GB2312" w:eastAsia="仿宋_GB2312"/>
        </w:rPr>
        <w:t>3、拟派项目经理资质要求 ：具有建筑工程专业二级及以上注册建造师证书（含二级），有效的安全生产考核合格证书（建安B证），且无在建工程（提供无在建工程承诺书）。</w:t>
      </w:r>
    </w:p>
    <w:p>
      <w:pPr>
        <w:pStyle w:val="null3"/>
      </w:pPr>
      <w:r>
        <w:rPr>
          <w:rFonts w:ascii="仿宋_GB2312" w:hAnsi="仿宋_GB2312" w:cs="仿宋_GB2312" w:eastAsia="仿宋_GB2312"/>
        </w:rPr>
        <w:t>4、有依法缴纳税收的良好记录：提供2025年1月1日以来至少一个月已缴纳的任意税种的凭据；其他组织和自然人提供投标文件截止时间前半年内至少一个月缴纳税收的凭据，依法免税的应提供相关文件证明材料。</w:t>
      </w:r>
    </w:p>
    <w:p>
      <w:pPr>
        <w:pStyle w:val="null3"/>
      </w:pPr>
      <w:r>
        <w:rPr>
          <w:rFonts w:ascii="仿宋_GB2312" w:hAnsi="仿宋_GB2312" w:cs="仿宋_GB2312" w:eastAsia="仿宋_GB2312"/>
        </w:rPr>
        <w:t>5、有依法缴纳社会保障资金的良好记录：提供2025年1月1日以来至少一个月的社会保障资金缴存单据或社保机构开具的社会保险参保缴费情况证明，依法不需要缴纳社会保障资金的单位应提供相关证明材料。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良好的商业信誉和健全的财务会计制度：提供2024年度经审计的财务会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7、供应商授权合法的人员参加投标全过程：法定代表人授权委托书（附法定代表人、被授权人身份证复印件）（法定代表人直接参加投标，须提供法定代表人身份证明及身份证复印件）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8、具有履行合同所必需的设备和专业技术能力：提供具有履行合同所必需的设备和专业技术能力的承诺；</w:t>
      </w:r>
    </w:p>
    <w:p>
      <w:pPr>
        <w:pStyle w:val="null3"/>
      </w:pPr>
      <w:r>
        <w:rPr>
          <w:rFonts w:ascii="仿宋_GB2312" w:hAnsi="仿宋_GB2312" w:cs="仿宋_GB2312" w:eastAsia="仿宋_GB2312"/>
        </w:rPr>
        <w:t>9、声明函：提供《中小企业声明函》；监狱企业应提供监狱企业相关资格证明材料；残疾人福利性单位应提供《残疾人福利性单位声明函》。</w:t>
      </w:r>
    </w:p>
    <w:p>
      <w:pPr>
        <w:pStyle w:val="null3"/>
      </w:pPr>
      <w:r>
        <w:rPr>
          <w:rFonts w:ascii="仿宋_GB2312" w:hAnsi="仿宋_GB2312" w:cs="仿宋_GB2312" w:eastAsia="仿宋_GB2312"/>
        </w:rPr>
        <w:t>10、参加政府采购活动前三年内，在经营活动中没有重大违法记录：提供参加政府采购活动前3年内在经营活动中没有重大违法记录的书面声明；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铜川市森林消防救援队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铜川市宜君县国有太安林场院内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18829191981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陕西中天泰合项目管理有限公司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陕西省西安市未央区白华路999号雅荷四季城B4号楼18层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17791715768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代理服务费收费标准：依据国家计委颁布的《招标代理服务收费管理暂行办法》（计价格〔2002〕1980号）及发改办价格〔2003〕857号中规定，以中标价为基数，标准计取。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铜川市森林消防救援队</w:t>
      </w:r>
      <w:r>
        <w:rPr>
          <w:rFonts w:ascii="仿宋_GB2312" w:hAnsi="仿宋_GB2312" w:cs="仿宋_GB2312" w:eastAsia="仿宋_GB2312"/>
        </w:rPr>
        <w:t>和</w:t>
      </w:r>
      <w:r>
        <w:rPr>
          <w:rFonts w:ascii="仿宋_GB2312" w:hAnsi="仿宋_GB2312" w:cs="仿宋_GB2312" w:eastAsia="仿宋_GB2312"/>
        </w:rPr>
        <w:t>陕西中天泰合项目管理有限公司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铜川市森林消防救援队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陕西中天泰合项目管理有限公司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铜川市森林消防救援队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陕西中天泰合项目管理有限公司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按合同条款及磋商文件要求执行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陕西中天泰合项目管理有限公司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陕西中天泰合项目管理有限公司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陕西中天泰合项目管理有限公司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联系电话：17791715768</w:t>
      </w:r>
    </w:p>
    <w:p>
      <w:pPr>
        <w:pStyle w:val="null3"/>
      </w:pPr>
      <w:r>
        <w:rPr>
          <w:rFonts w:ascii="仿宋_GB2312" w:hAnsi="仿宋_GB2312" w:cs="仿宋_GB2312" w:eastAsia="仿宋_GB2312"/>
        </w:rPr>
        <w:t>地址：陕西省西安市未央区白华路999号雅荷四季城B4号楼18层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1,503,605.00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陕西省照金林区地方森林消防队伍营房综合保障 设施配套工程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标的名称：陕西省照金林区地方森林消防队伍营房综合保障 设施配套工程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①供应商必须对项目情况进行充分了解，并保证能协调工作场地及现场工作情况，确保项目在合同约定工期内顺利完工。</w:t>
            </w:r>
          </w:p>
          <w:p>
            <w:pPr>
              <w:pStyle w:val="null3"/>
            </w:pPr>
            <w:r>
              <w:rPr>
                <w:rFonts w:ascii="仿宋_GB2312" w:hAnsi="仿宋_GB2312" w:cs="仿宋_GB2312" w:eastAsia="仿宋_GB2312"/>
                <w:sz w:val="24"/>
              </w:rPr>
              <w:t>②承包人必须自行施工，不得转包，分包。</w:t>
            </w:r>
          </w:p>
          <w:p>
            <w:pPr>
              <w:pStyle w:val="null3"/>
            </w:pPr>
            <w:r>
              <w:rPr>
                <w:rFonts w:ascii="仿宋_GB2312" w:hAnsi="仿宋_GB2312" w:cs="仿宋_GB2312" w:eastAsia="仿宋_GB2312"/>
                <w:sz w:val="24"/>
              </w:rPr>
              <w:t>③承包人必须保证安全生产，文明施工、环保施工，要确保作业工人保温和身体健康，严禁带病工作。</w:t>
            </w:r>
          </w:p>
          <w:p>
            <w:pPr>
              <w:pStyle w:val="null3"/>
            </w:pPr>
            <w:r>
              <w:rPr>
                <w:rFonts w:ascii="仿宋_GB2312" w:hAnsi="仿宋_GB2312" w:cs="仿宋_GB2312" w:eastAsia="仿宋_GB2312"/>
                <w:sz w:val="24"/>
              </w:rPr>
              <w:t>④承包人应确保施工现场的清洁卫生，建筑垃圾必须当日清理干净，不得留在现场过夜。</w:t>
            </w:r>
          </w:p>
          <w:p>
            <w:pPr>
              <w:pStyle w:val="null3"/>
            </w:pPr>
            <w:r>
              <w:rPr>
                <w:rFonts w:ascii="仿宋_GB2312" w:hAnsi="仿宋_GB2312" w:cs="仿宋_GB2312" w:eastAsia="仿宋_GB2312"/>
                <w:sz w:val="24"/>
              </w:rPr>
              <w:t>⑤承包人在施工过程中，如遇到需与外部相关的单位协调的问题时，应自行解决，发包人只负责协助。</w:t>
            </w:r>
          </w:p>
          <w:p>
            <w:pPr>
              <w:pStyle w:val="null3"/>
            </w:pPr>
            <w:r>
              <w:rPr>
                <w:rFonts w:ascii="仿宋_GB2312" w:hAnsi="仿宋_GB2312" w:cs="仿宋_GB2312" w:eastAsia="仿宋_GB2312"/>
                <w:sz w:val="24"/>
              </w:rPr>
              <w:t>⑥承包人必须注意施工安全，做好安全文明施工工作，如因措施不当造成人身安全或工伤死亡事故，一切责任由承包人负责。工程施工要求以安全第一、安全设施自备自负、应达到安全标准要求。</w:t>
            </w:r>
          </w:p>
          <w:p>
            <w:pPr>
              <w:pStyle w:val="null3"/>
            </w:pPr>
            <w:r>
              <w:rPr>
                <w:rFonts w:ascii="仿宋_GB2312" w:hAnsi="仿宋_GB2312" w:cs="仿宋_GB2312" w:eastAsia="仿宋_GB2312"/>
                <w:sz w:val="24"/>
              </w:rPr>
              <w:t>⑦承包人必须严格按照已经确认的施工方案组织施工，并接受发包人对工程质量、工期、安全、文明施工、环保及工地纪律的监督和管理。</w:t>
            </w:r>
          </w:p>
          <w:p>
            <w:pPr>
              <w:pStyle w:val="null3"/>
              <w:jc w:val="both"/>
            </w:pPr>
            <w:r>
              <w:rPr>
                <w:rFonts w:ascii="仿宋_GB2312" w:hAnsi="仿宋_GB2312" w:cs="仿宋_GB2312" w:eastAsia="仿宋_GB2312"/>
                <w:sz w:val="24"/>
              </w:rPr>
              <w:t>⑧承包人在工程施工期间，须严格遵守政府职能部门的各项规章制度，接受政府职能部门的监督和检查，由于管理不善，导致政府职能部门的罚款和停工整改，由其发生的费用与损失由承包人自行承担，且发包人保留暂缓支付工程款的权利，以确保文明施工有效实行。</w:t>
            </w:r>
          </w:p>
          <w:p>
            <w:pPr>
              <w:pStyle w:val="null3"/>
              <w:jc w:val="both"/>
            </w:pPr>
            <w:r>
              <w:rPr>
                <w:rFonts w:ascii="仿宋_GB2312" w:hAnsi="仿宋_GB2312" w:cs="仿宋_GB2312" w:eastAsia="仿宋_GB2312"/>
                <w:sz w:val="24"/>
              </w:rPr>
              <w:t>其它内容</w:t>
            </w:r>
            <w:r>
              <w:rPr>
                <w:rFonts w:ascii="仿宋_GB2312" w:hAnsi="仿宋_GB2312" w:cs="仿宋_GB2312" w:eastAsia="仿宋_GB2312"/>
                <w:sz w:val="24"/>
              </w:rPr>
              <w:t>详见工程量清单、图纸</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（1）工程内容：陕西省照金林区地方森林消防队伍营房综合保障设施配套工程，具体详见工程量清单、图纸。 （2）工期：自合同签订之日起 90 日历天。 （3）质量保修期：自竣工验收合格之日起1 年。 （4）工程地点：铜川市宜君县太安镇。 （5）质量要求：合格 （6）付款方式：合同签订后，预付工程款30%，工程完工验收后付至97%，剩余3%质保期结束后一次性付清。 （7）项目实施要求： ①供应商必须对项目情况进行充分了解，并保证能协调工作场地及现场工作情况，确保项目在合同约定工期内顺利完工。 ②承包人必须自行施工，不得转包，分包。 ③承包人必须保证安全生产，文明施工、环保施工，要确保作业工人保温和身体健康，严禁带病工作。 ④承包人应确保施工现场的清洁卫生，建筑垃圾必须当日清理干净，不得留在现场过夜。 ⑤承包人在施工过程中，如遇到需与外部相关的单位协调的问题时，应自行解决，发包人只负责协助。 ⑥承包人必须注意施工安全，做好安全文明施工工作，如因措施不当造成人身安全或工伤死亡事故，一切责任由承包人负责。工程施工要求以安全第一、安全设施自备自负、应达到安全标准要求。 ⑦承包人必须严格按照已经确认的施工方案组织施工，并接受发包人对工程质量、工期、安全、文明施工、环保及工地纪律的监督和管理。 ⑧承包人在工程施工期间，须严格遵守政府职能部门的各项规章制度，接受政府职能部门的监督和检查，由于管理不善，导致政府职能部门的罚款和停工整改，由其发生的费用与损失由承包人自行承担，且发包人保留暂缓支付工程款的权利，以确保文明施工有效实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具备建设行政主管部门颁发的建筑工程施工总承包三级及以上资质，并具有有效的安全生产许可证。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具有建筑工程专业二级及以上注册建造师证书（含二级），有效的安全生产考核合格证书（建安B证），且无在建工程（提供无在建工程承诺书）。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提供2025年1月1日以来至少一个月已缴纳的任意税种的凭据；其他组织和自然人提供投标文件截止时间前半年内至少一个月缴纳税收的凭据，依法免税的应提供相关文件证明材料。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提供2025年1月1日以来至少一个月的社会保障资金缴存单据或社保机构开具的社会保险参保缴费情况证明，依法不需要缴纳社会保障资金的单位应提供相关证明材料。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提供《中小企业声明函》；监狱企业应提供监狱企业相关资格证明材料；残疾人福利性单位应提供《残疾人福利性单位声明函》。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资格证明文件.docx 施工组织设计.docx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资格证明文件.docx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只能有一个有效报价，不得提交选择性报价，按要求提交二次或多次报价，且每轮报价单价及总价均不超过采购预算金额或最高限价或磋商小组认为低于成本价的报价；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完全响应竞争性磋商文件要求的各项技术（服务）、商务实质性条款，不能有采购人不能接受的附加条件；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资格证明文件.docx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 ②施工准备 ③施工平面布置与安排。 二、评审标准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 ①工程重难点及解决措施②分部分项工程施工方法 。二、评审标准 1、完整性:方案必须全面，对评审内容中的各项要求有详细描述； 2、可实施性:切合本项目实际情况，提出步骤清晰、合理的方案； 3、针对性:方案能够紧扣项目实际情况，内容科学合理。 三、赋分标准 ①工程重难点及解决措施:每完全满足一个评审标准得1.5分，满分4.5分； ②分部分项工程施工方法:每完全满足一个评审标准得1.5分，满分4.5分。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 ①施工进度计划横道图 ②进度计划保证措施 ③工期保证措施。 二、评审标准 1、完整性:方案必须全面，对评审内容中的各项要求有详细描述； 2、可实施性:切合本项目实际情况，提出步骤清晰、合理的方案； 3、针对性:方案能够紧扣项目实际情况，内容科学合理。 三、赋分标准 ①施工进度计划横道图:每完全满足一个评审标准得1分，满分3分；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 ①质量目标管理体系 ②施工质量的检验制度 ③确保质量的技术组织措施。 二、评审标准 1、完整性:方案必须全面，对评审内容中的各项要求有详细描述； 2、可实施性:切合本项目实际情况，提出步骤清晰、合理的方案； 3、针对性:方案能够紧扣项目实际情况，内容科学合理。 三、赋分标准 ①质量目标管理体系:每完全满足一个评审标准得1分，满分3分； ②施工质量的检验制度:每完全满足一个评审标准得1分，满分3分； ③确保质量的技术组织措施:每完全满足一个评审标准得1分，满分3分。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一、评审内容 供应商针对本项目编制完整的安全施工措施，内容包含: ①安全生产管理制度 ②安全施工措施 ③安全应急预案 ④安全生产教育。 二、评审标准 1、完整性:方案必须全面，对评审内容中的各项要求有详细描述； 2、可实施性:切合本项目实际情况，提出步骤清晰、合理的方案； 3、针对性:方案能够紧扣项目实际情况，内容科学合理。 三、赋分标准 ①安全生产管理制度:每完全满足一个评审标准得1分，满分3分； ②安全施工措施:每完全满足一个评审标准得1分，满分3分；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文明施工措施及环境保护措施</w:t>
            </w:r>
          </w:p>
        </w:tc>
        <w:tc>
          <w:tcPr>
            <w:tcW w:type="dxa" w:w="2492"/>
          </w:tcPr>
          <w:p>
            <w:pPr>
              <w:pStyle w:val="null3"/>
            </w:pPr>
            <w:r>
              <w:rPr>
                <w:rFonts w:ascii="仿宋_GB2312" w:hAnsi="仿宋_GB2312" w:cs="仿宋_GB2312" w:eastAsia="仿宋_GB2312"/>
              </w:rPr>
              <w:t>一、评审内容 供应商针对本项目编制完整的文明施工措施，内容包含: ①文明施工管理目标及技术措施 ②文明施工现场管理:材料管理、防扰民措施③环境保护措施。 二、评审标准 1、完整性:方案必须全面，对评审内容中的各项要求有详细描述； 2、可实施性:切合本项目实际情况，提出步骤清晰、合理的方案； 3、针对性:方案能够紧扣项目实际情况，内容科学合理。 三、赋分标准 ①文明施工管理目标及技术措施:每完全满足一个评审标准得1分，满分3分； ②文明施工现场管理:每完全满足一个评审标准得1分,满分3分。③环境保护措施：每完全满足一个评审标准得1分,满分3分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 ①管理机构的配备计划 ②团队机构设置，人员岗位职责 ；二、评审标准 1、完整性:方案必须全面，对评审内容中的各项要求有详细描述； 2、可实施性:切合本项目实际情况，提出步骤清晰、合理的方案； 3、针对性:方案能够紧扣项目实际情况，内容科学合理。 三、赋分标准 ①管理机构的配备计划:每完全满足一个评审标准得1分，满分3分； ②团队机构设置，人员岗位职责:每完全满足一个评审标准得1分，满分3分；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劳动力安排及施工机械配备投入计划</w:t>
            </w:r>
          </w:p>
        </w:tc>
        <w:tc>
          <w:tcPr>
            <w:tcW w:type="dxa" w:w="2492"/>
          </w:tcPr>
          <w:p>
            <w:pPr>
              <w:pStyle w:val="null3"/>
            </w:pPr>
            <w:r>
              <w:rPr>
                <w:rFonts w:ascii="仿宋_GB2312" w:hAnsi="仿宋_GB2312" w:cs="仿宋_GB2312" w:eastAsia="仿宋_GB2312"/>
              </w:rPr>
              <w:t>一、评审内容 供应商针对本项目编制科学的项目管理机构，内容包含: ①劳动力安排 ②施工机械配备投入计划。 二、评审标准 1、完整性:方案必须全面，对评审内容中的各项要求有详细描述； 2、可实施性:切合本项目实际情况，提出步骤清晰、合理的方案； 3、针对性:方案能够紧扣项目实际情况，内容科学合理。 三、赋分标准 ①劳动力安排:每完全满足一个评审标准得1分，满分3分； ②施工机械配备投入计划:每完全满足一个评审标准得1分，满分3分。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近三年（2022年1月1日至今）承接有类似业绩（每个1分，满分4分）。 注：①类似业绩时间以中标通知书或合同协议书最终签署日期为准； ②企业业绩以中标通知书或合同协议书复印件并加盖单位公章为准； ③类似业绩是同类项目业绩。</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满足磋商文件要求且最终报价最低的供应商的价格为磋商基准价，其价格得分为满分。其他供应商的价格得分统一按照下列公式计算磋商报价得分=（磋商基准价/最终磋商报价）×价格权值（30%）×100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