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rPr>
          <w:rFonts w:ascii="仿宋_GB2312" w:hAnsi="仿宋_GB2312" w:cs="仿宋_GB2312" w:eastAsia="仿宋_GB2312"/>
          <w:b/>
        </w:rPr>
        <w:t>版本号：HRPD2025-1126Z20251204001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交警一大队指挥中心设备购置项目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HRPD2025-1126Z</w:t>
      </w:r>
      <w:r>
        <w:br/>
      </w:r>
      <w:r>
        <w:br/>
      </w:r>
      <w:r>
        <w:br/>
      </w:r>
    </w:p>
    <w:p>
      <w:pPr>
        <w:pStyle w:val="null3"/>
        <w:jc w:val="center"/>
        <w:outlineLvl w:val="2"/>
      </w:pPr>
      <w:r>
        <w:rPr>
          <w:rFonts w:ascii="仿宋_GB2312" w:hAnsi="仿宋_GB2312" w:cs="仿宋_GB2312" w:eastAsia="仿宋_GB2312"/>
          <w:sz w:val="28"/>
          <w:b/>
        </w:rPr>
        <w:t>铜川市公安局交通警察支队一大队</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铜川市公安局交通警察支队一大队</w:t>
      </w:r>
      <w:r>
        <w:rPr>
          <w:rFonts w:ascii="仿宋_GB2312" w:hAnsi="仿宋_GB2312" w:cs="仿宋_GB2312" w:eastAsia="仿宋_GB2312"/>
        </w:rPr>
        <w:t>委托，拟对</w:t>
      </w:r>
      <w:r>
        <w:rPr>
          <w:rFonts w:ascii="仿宋_GB2312" w:hAnsi="仿宋_GB2312" w:cs="仿宋_GB2312" w:eastAsia="仿宋_GB2312"/>
        </w:rPr>
        <w:t>交警一大队指挥中心设备购置项目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HRPD2025-1126Z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交警一大队指挥中心设备购置项目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交警一大队指挥中心设备购置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采购包1（交警一大队指挥中心设备购置项目）：属于专门面向中小企业采购。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1、主体资格证明文件：具有独立承担民事责任的能力，提供法人或者其他组织的营业执照等证明文件，自 然人参与的提供其有效身份证明：具有独立承担民事责任的能力，提供法人或者其 他组织的营业执照等证明文件，自然人参与的提供其有效身份证明。</w:t>
      </w:r>
    </w:p>
    <w:p>
      <w:pPr>
        <w:pStyle w:val="null3"/>
      </w:pPr>
      <w:r>
        <w:rPr>
          <w:rFonts w:ascii="仿宋_GB2312" w:hAnsi="仿宋_GB2312" w:cs="仿宋_GB2312" w:eastAsia="仿宋_GB2312"/>
        </w:rPr>
        <w:t>2、财务状况：提供2023或2024任一年度经审计的财务审计报告(2025年成立的公司提供成立后 企业的资产负债表和利润表），或提供投标文件递交截止之日前三个月内基本存款 账户开户银行开具的资信证明；</w:t>
      </w:r>
    </w:p>
    <w:p>
      <w:pPr>
        <w:pStyle w:val="null3"/>
      </w:pPr>
      <w:r>
        <w:rPr>
          <w:rFonts w:ascii="仿宋_GB2312" w:hAnsi="仿宋_GB2312" w:cs="仿宋_GB2312" w:eastAsia="仿宋_GB2312"/>
        </w:rPr>
        <w:t>3、税收缴纳证明：提供2024年11月01日至今任意一个月的缴纳税收的证明材料,(依法免税的单位应 提供相关证明材料)；</w:t>
      </w:r>
    </w:p>
    <w:p>
      <w:pPr>
        <w:pStyle w:val="null3"/>
      </w:pPr>
      <w:r>
        <w:rPr>
          <w:rFonts w:ascii="仿宋_GB2312" w:hAnsi="仿宋_GB2312" w:cs="仿宋_GB2312" w:eastAsia="仿宋_GB2312"/>
        </w:rPr>
        <w:t>4、社保缴纳证明：提供2024年11月01日至今任意一个月的依法缴纳社会保障资金的证明材料（依法 不需要缴纳社会保障资金的单位应提供相关证明材料）；</w:t>
      </w:r>
    </w:p>
    <w:p>
      <w:pPr>
        <w:pStyle w:val="null3"/>
      </w:pPr>
      <w:r>
        <w:rPr>
          <w:rFonts w:ascii="仿宋_GB2312" w:hAnsi="仿宋_GB2312" w:cs="仿宋_GB2312" w:eastAsia="仿宋_GB2312"/>
        </w:rPr>
        <w:t>5、书面声明：具备履行合同所必需的设备和专业技术能力的书面声明；</w:t>
      </w:r>
    </w:p>
    <w:p>
      <w:pPr>
        <w:pStyle w:val="null3"/>
      </w:pPr>
      <w:r>
        <w:rPr>
          <w:rFonts w:ascii="仿宋_GB2312" w:hAnsi="仿宋_GB2312" w:cs="仿宋_GB2312" w:eastAsia="仿宋_GB2312"/>
        </w:rPr>
        <w:t>6、信用记录：投标人不得为“信用中国”网站（www.creditchina.gov.cn）中列入失信被执行人 或重大税收违法案件当事人名单的供应商，不得为中国政府采购网（www.ccgp.g ov.cn）政府采购严重违法失信行为记录名单中被财政部门禁止参加政府采购活动 的供应商；</w:t>
      </w:r>
    </w:p>
    <w:p>
      <w:pPr>
        <w:pStyle w:val="null3"/>
      </w:pPr>
      <w:r>
        <w:rPr>
          <w:rFonts w:ascii="仿宋_GB2312" w:hAnsi="仿宋_GB2312" w:cs="仿宋_GB2312" w:eastAsia="仿宋_GB2312"/>
        </w:rPr>
        <w:t>7、法定代表人授权书：法定代表人授权书（附法定代表人及被授权人身份证复印件）（如法定代表人直接 投标只须提交法定代表人身份证明并附身份证复印件）；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铜川市公安局交通警察支队一大队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铜川市王益区七一路41号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15353320908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陕西省铜川市耀州区东环路祥瑞小区南门天风自动变速箱三楼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郭辰阳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15399208767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采购包1：780,057.78元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代理服务费收费标准：代理服务费参照国家发展计划委员会“计价格【20 02】1980号”文件、“ 发改办价格【2003】857号”文件和国家发展改革委“发改价格【2011】 534号”文件规定计取；代理服务费不足5000元按照5000元收取，待确定成交人后3日内由成 交人一次性支付给招标代理机构。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铜川市公安局交通警察支队一大队</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铜川市公安局交通警察支队一大队</w:t>
      </w:r>
      <w:r>
        <w:rPr>
          <w:rFonts w:ascii="仿宋_GB2312" w:hAnsi="仿宋_GB2312" w:cs="仿宋_GB2312" w:eastAsia="仿宋_GB2312"/>
        </w:rPr>
        <w:t>负责解释。除上述招标文件内容，其他内容由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铜川市公安局交通警察支队一大队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联系人：郭辰阳</w:t>
      </w:r>
    </w:p>
    <w:p>
      <w:pPr>
        <w:pStyle w:val="null3"/>
      </w:pPr>
      <w:r>
        <w:rPr>
          <w:rFonts w:ascii="仿宋_GB2312" w:hAnsi="仿宋_GB2312" w:cs="仿宋_GB2312" w:eastAsia="仿宋_GB2312"/>
        </w:rPr>
        <w:t>联系电话：15399208767</w:t>
      </w:r>
    </w:p>
    <w:p>
      <w:pPr>
        <w:pStyle w:val="null3"/>
      </w:pPr>
      <w:r>
        <w:rPr>
          <w:rFonts w:ascii="仿宋_GB2312" w:hAnsi="仿宋_GB2312" w:cs="仿宋_GB2312" w:eastAsia="仿宋_GB2312"/>
        </w:rPr>
        <w:t>地址：陕西省铜川市耀州区东环路祥瑞小区南门天风自动变速箱三楼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交警一大队指挥中心设备购置项目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780,057.78</w:t>
      </w:r>
    </w:p>
    <w:p>
      <w:pPr>
        <w:pStyle w:val="null3"/>
      </w:pPr>
      <w:r>
        <w:rPr>
          <w:rFonts w:ascii="仿宋_GB2312" w:hAnsi="仿宋_GB2312" w:cs="仿宋_GB2312" w:eastAsia="仿宋_GB2312"/>
        </w:rPr>
        <w:t>采购包最高限价（元）: 780,057.78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交警一大队指挥中心设备购置项目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780,057.78</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标的名称：交警一大队指挥中心设备购置项目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430"/>
              <w:gridCol w:w="1716"/>
              <w:gridCol w:w="175"/>
              <w:gridCol w:w="229"/>
            </w:tblGrid>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名称  </w:t>
                  </w:r>
                  <w:r>
                    <w:rPr>
                      <w:rFonts w:ascii="仿宋_GB2312" w:hAnsi="仿宋_GB2312" w:cs="仿宋_GB2312" w:eastAsia="仿宋_GB2312"/>
                      <w:sz w:val="22"/>
                      <w:color w:val="000000"/>
                    </w:rPr>
                    <w:t>项目</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参数说明</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可视化展示硬件</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rPr>
                    <w:t>1.有效显示尺寸为宽≥6.6m，高≥3.7125m；屏幕分辨率：≥5280*2970；</w:t>
                  </w:r>
                  <w:r>
                    <w:br/>
                  </w:r>
                  <w:r>
                    <w:rPr>
                      <w:rFonts w:ascii="仿宋_GB2312" w:hAnsi="仿宋_GB2312" w:cs="仿宋_GB2312" w:eastAsia="仿宋_GB2312"/>
                    </w:rPr>
                    <w:t xml:space="preserve"> 2.像素间距：≤1.25mm，像素密度≥640000点/㎡；；箱体尺寸：(W×H) 600×337.5mm；；</w:t>
                  </w:r>
                  <w:r>
                    <w:br/>
                  </w:r>
                  <w:r>
                    <w:rPr>
                      <w:rFonts w:ascii="仿宋_GB2312" w:hAnsi="仿宋_GB2312" w:cs="仿宋_GB2312" w:eastAsia="仿宋_GB2312"/>
                    </w:rPr>
                    <w:t xml:space="preserve"> 3.▲像素构成：高密度全倒装集成三合一 COB 封装（1R1G1B），采用 RGB 晶片全倒装技术，晶片直接焊在 PCB 上，无焊线，发光晶片单边尺寸≤100μm（需提供首页带有“CNAS”“ilac-MRA”“CMA”标志的检测机构出具的检测报告）</w:t>
                  </w:r>
                  <w:r>
                    <w:br/>
                  </w:r>
                  <w:r>
                    <w:rPr>
                      <w:rFonts w:ascii="仿宋_GB2312" w:hAnsi="仿宋_GB2312" w:cs="仿宋_GB2312" w:eastAsia="仿宋_GB2312"/>
                    </w:rPr>
                    <w:t xml:space="preserve"> 4.▲为保证产品质量，发光芯片需选用一线品牌，COB产品所使用R、G、B芯片需全部采用同一品牌。（提供证明材料）</w:t>
                  </w:r>
                  <w:r>
                    <w:br/>
                  </w:r>
                  <w:r>
                    <w:rPr>
                      <w:rFonts w:ascii="仿宋_GB2312" w:hAnsi="仿宋_GB2312" w:cs="仿宋_GB2312" w:eastAsia="仿宋_GB2312"/>
                    </w:rPr>
                    <w:t xml:space="preserve"> 5.▲箱体材质：整机采用密封式压铸铝结构，一次性整体压铸成型，全金属自然散热结构，无风扇、防尘、静音设计，内部系统卡、元器件都有很好的保护作用。箱体抗拉强度≥250Mpa；屈服强度≥150Mpa；抗拉力测试数值≥5000N/㎡，抗压力测试数值≥50000N/㎡。采用原厂箱体出厂方式供货，需提供原厂箱体出厂承诺函；</w:t>
                  </w:r>
                  <w:r>
                    <w:br/>
                  </w:r>
                  <w:r>
                    <w:rPr>
                      <w:rFonts w:ascii="仿宋_GB2312" w:hAnsi="仿宋_GB2312" w:cs="仿宋_GB2312" w:eastAsia="仿宋_GB2312"/>
                    </w:rPr>
                    <w:t xml:space="preserve"> 6.▲对比度：≥20000：1；暗室对比度≥2000000∶1，亮度：≥800nits，支持通过配套软件0-100%调节，亮度均匀性≥99%，整屏显示亮度应均匀一致（需提供首页带有“CNAS”“ilac-MRA”“CMA”标志的检测机构出具的检测报告）；</w:t>
                  </w:r>
                  <w:r>
                    <w:br/>
                  </w:r>
                  <w:r>
                    <w:rPr>
                      <w:rFonts w:ascii="仿宋_GB2312" w:hAnsi="仿宋_GB2312" w:cs="仿宋_GB2312" w:eastAsia="仿宋_GB2312"/>
                    </w:rPr>
                    <w:t xml:space="preserve"> 7.色度均匀性在±0.001Cx，Cy 之内，相邻色块不应存在色差，提升画面均匀性，画面显示更细腻；</w:t>
                  </w:r>
                  <w:r>
                    <w:br/>
                  </w:r>
                  <w:r>
                    <w:rPr>
                      <w:rFonts w:ascii="仿宋_GB2312" w:hAnsi="仿宋_GB2312" w:cs="仿宋_GB2312" w:eastAsia="仿宋_GB2312"/>
                    </w:rPr>
                    <w:t xml:space="preserve"> 8.高度集成：为提供整体的美观性与可维护性，采用三合一集成板卡设计，将电源、接收卡以及 HUB 板高度集成于一体，简化箱体内部的连接结构，减少线缆冗乱；</w:t>
                  </w:r>
                  <w:r>
                    <w:br/>
                  </w:r>
                  <w:r>
                    <w:rPr>
                      <w:rFonts w:ascii="仿宋_GB2312" w:hAnsi="仿宋_GB2312" w:cs="仿宋_GB2312" w:eastAsia="仿宋_GB2312"/>
                    </w:rPr>
                    <w:t xml:space="preserve"> 9.视角：水平≥170°，垂直≥170°色温：1000—30000K可调，刷新频率：＞3840Hz；</w:t>
                  </w:r>
                  <w:r>
                    <w:br/>
                  </w:r>
                  <w:r>
                    <w:rPr>
                      <w:rFonts w:ascii="仿宋_GB2312" w:hAnsi="仿宋_GB2312" w:cs="仿宋_GB2312" w:eastAsia="仿宋_GB2312"/>
                    </w:rPr>
                    <w:t xml:space="preserve"> 10.箱体平整度≤0.05mm；</w:t>
                  </w:r>
                  <w:r>
                    <w:br/>
                  </w:r>
                  <w:r>
                    <w:rPr>
                      <w:rFonts w:ascii="仿宋_GB2312" w:hAnsi="仿宋_GB2312" w:cs="仿宋_GB2312" w:eastAsia="仿宋_GB2312"/>
                    </w:rPr>
                    <w:t xml:space="preserve"> 11.低亮高灰：支持软件实现不同亮度情况下灰度8-18bit任意设置，0-100%亮度时，8-18bits 任意灰度设置。100%亮度时，18bit；50%- 80%亮度时，16bit；20%亮度时14bits；</w:t>
                  </w:r>
                  <w:r>
                    <w:br/>
                  </w:r>
                  <w:r>
                    <w:rPr>
                      <w:rFonts w:ascii="仿宋_GB2312" w:hAnsi="仿宋_GB2312" w:cs="仿宋_GB2312" w:eastAsia="仿宋_GB2312"/>
                    </w:rPr>
                    <w:t xml:space="preserve"> 12.▲供电方式：采用 2.8+3.8Vdc供电设计，支持动态节能，单模组纯功耗≤5W（需提供首页带有“CNAS”“ilac-MRA”“CMA”标志的检测机构出具的检测报告）；</w:t>
                  </w:r>
                  <w:r>
                    <w:br/>
                  </w:r>
                  <w:r>
                    <w:rPr>
                      <w:rFonts w:ascii="仿宋_GB2312" w:hAnsi="仿宋_GB2312" w:cs="仿宋_GB2312" w:eastAsia="仿宋_GB2312"/>
                    </w:rPr>
                    <w:t xml:space="preserve"> 13.功耗：最大功耗≤300W/㎡，平均功耗≤100W/㎡，带有智能（黑屏）节电功能，开启智能节电功能比没有开启节能60%以上，休眠模式带电黑屏功耗（W）≤25W/㎡；</w:t>
                  </w:r>
                  <w:r>
                    <w:br/>
                  </w:r>
                  <w:r>
                    <w:rPr>
                      <w:rFonts w:ascii="仿宋_GB2312" w:hAnsi="仿宋_GB2312" w:cs="仿宋_GB2312" w:eastAsia="仿宋_GB2312"/>
                    </w:rPr>
                    <w:t xml:space="preserve"> 14.COB显示单元通过摩擦试验，为防止刮蹭伤害屏幕，LED 表面具备的硬度等级≥HRC12；</w:t>
                  </w:r>
                  <w:r>
                    <w:br/>
                  </w:r>
                  <w:r>
                    <w:rPr>
                      <w:rFonts w:ascii="仿宋_GB2312" w:hAnsi="仿宋_GB2312" w:cs="仿宋_GB2312" w:eastAsia="仿宋_GB2312"/>
                    </w:rPr>
                    <w:t xml:space="preserve"> 15.维护方式：前维护，无需预留空间，使用通用前拆工具，真空吸。模组和集成控制板可单独进行维护、更换，支持热插拔；</w:t>
                  </w:r>
                  <w:r>
                    <w:br/>
                  </w:r>
                  <w:r>
                    <w:rPr>
                      <w:rFonts w:ascii="仿宋_GB2312" w:hAnsi="仿宋_GB2312" w:cs="仿宋_GB2312" w:eastAsia="仿宋_GB2312"/>
                    </w:rPr>
                    <w:t xml:space="preserve"> 16.阻燃：PCB、面板、单元整体的阻燃等级应达到V-0级；</w:t>
                  </w:r>
                  <w:r>
                    <w:br/>
                  </w:r>
                  <w:r>
                    <w:rPr>
                      <w:rFonts w:ascii="仿宋_GB2312" w:hAnsi="仿宋_GB2312" w:cs="仿宋_GB2312" w:eastAsia="仿宋_GB2312"/>
                    </w:rPr>
                    <w:t xml:space="preserve"> 17.▲支持HDR显示效果，符合CESI/TS 008-2019《HDR 显示认证技术规范》认证标准和技术要求中HDR 3.0的要求（需提供首页带有“CNAS”“ilac-MRA”“CMA”标志的检测机构出具的检测报告）；</w:t>
                  </w:r>
                  <w:r>
                    <w:br/>
                  </w:r>
                  <w:r>
                    <w:rPr>
                      <w:rFonts w:ascii="仿宋_GB2312" w:hAnsi="仿宋_GB2312" w:cs="仿宋_GB2312" w:eastAsia="仿宋_GB2312"/>
                    </w:rPr>
                    <w:t xml:space="preserve"> 18.▲色彩品质A级认证：通过CBSI/TS 011-2018认证标准和技术要求，符合CBSI产品认证实施规则CBSI-PC-OD11中色彩品质A级的要求（需提供首页带有“CNAS”“ilac-MRA”“CMA”标志的检测机构出具的检测报告）；</w:t>
                  </w:r>
                  <w:r>
                    <w:br/>
                  </w:r>
                  <w:r>
                    <w:rPr>
                      <w:rFonts w:ascii="仿宋_GB2312" w:hAnsi="仿宋_GB2312" w:cs="仿宋_GB2312" w:eastAsia="仿宋_GB2312"/>
                    </w:rPr>
                    <w:t xml:space="preserve"> 19.▲视觉低疲劳：依据视觉低疲劳电子产品评测技术规范进行了检测，符合该规范中LED 显示屏技术要求，通过视觉低疲劳电子产品评测（需提供首页带有“CNAS”“ilac-MRA”“CMA”标志的检测机构出具的检测报告）；</w:t>
                  </w:r>
                  <w:r>
                    <w:br/>
                  </w:r>
                  <w:r>
                    <w:rPr>
                      <w:rFonts w:ascii="仿宋_GB2312" w:hAnsi="仿宋_GB2312" w:cs="仿宋_GB2312" w:eastAsia="仿宋_GB2312"/>
                    </w:rPr>
                    <w:t xml:space="preserve"> 20.光生物安全：依据 GB/T 20145-2006 标准进行光生物安全评估检测，应属无危害类；</w:t>
                  </w:r>
                  <w:r>
                    <w:br/>
                  </w:r>
                  <w:r>
                    <w:rPr>
                      <w:rFonts w:ascii="仿宋_GB2312" w:hAnsi="仿宋_GB2312" w:cs="仿宋_GB2312" w:eastAsia="仿宋_GB2312"/>
                    </w:rPr>
                    <w:t xml:space="preserve"> 21.防护功能：具备防尘、防水、防潮、防反光、防静电、防撞、防摔、抗UV、抗雷击、抗冲击、抗挤碰、耐黄变、散热均匀等功能特点；</w:t>
                  </w:r>
                  <w:r>
                    <w:br/>
                  </w:r>
                  <w:r>
                    <w:rPr>
                      <w:rFonts w:ascii="仿宋_GB2312" w:hAnsi="仿宋_GB2312" w:cs="仿宋_GB2312" w:eastAsia="仿宋_GB2312"/>
                    </w:rPr>
                    <w:t xml:space="preserve"> 22.抗震：符合 GB/T 17742-2020 中 10 级地震 烈度相关震害参数；</w:t>
                  </w:r>
                  <w:r>
                    <w:br/>
                  </w:r>
                  <w:r>
                    <w:rPr>
                      <w:rFonts w:ascii="仿宋_GB2312" w:hAnsi="仿宋_GB2312" w:cs="仿宋_GB2312" w:eastAsia="仿宋_GB2312"/>
                    </w:rPr>
                    <w:t xml:space="preserve"> 23.▲防腐蚀保护评级为 10 级，外观评级为 10 级，盐雾试验符合10级要求。（需提供首页带有“CNAS”“ilac-MRA”“CMA”标志的检测机构出具的检测报告）；</w:t>
                  </w:r>
                  <w:r>
                    <w:br/>
                  </w:r>
                  <w:r>
                    <w:rPr>
                      <w:rFonts w:ascii="仿宋_GB2312" w:hAnsi="仿宋_GB2312" w:cs="仿宋_GB2312" w:eastAsia="仿宋_GB2312"/>
                    </w:rPr>
                    <w:t xml:space="preserve"> 24.▲运输试验：按照 GB/T 6587-2012 规定的三级流通条件进行运输试验，试验后外观和功能应正常（需提供首页带有“CNAS”“ilac-MRA”“CMA”标志的检测机构出具的检测报告）；</w:t>
                  </w:r>
                  <w:r>
                    <w:br/>
                  </w:r>
                  <w:r>
                    <w:rPr>
                      <w:rFonts w:ascii="仿宋_GB2312" w:hAnsi="仿宋_GB2312" w:cs="仿宋_GB2312" w:eastAsia="仿宋_GB2312"/>
                    </w:rPr>
                    <w:t xml:space="preserve"> 25.▲为了确保LED显示屏在复杂电磁环境下的抗干扰能力和数据传输的稳定性，需提供抗干扰解码装置相关技术知识产权证明文件；</w:t>
                  </w:r>
                  <w:r>
                    <w:br/>
                  </w:r>
                  <w:r>
                    <w:rPr>
                      <w:rFonts w:ascii="仿宋_GB2312" w:hAnsi="仿宋_GB2312" w:cs="仿宋_GB2312" w:eastAsia="仿宋_GB2312"/>
                    </w:rPr>
                    <w:t xml:space="preserve"> 26.▲为减少因热量分布不均导致的偏色问题，显示屏需具有热力补偿技术，提供具有CMA资质机构出具且封面具有相应标识的软件产品登记测试报告；</w:t>
                  </w:r>
                  <w:r>
                    <w:br/>
                  </w:r>
                  <w:r>
                    <w:rPr>
                      <w:rFonts w:ascii="仿宋_GB2312" w:hAnsi="仿宋_GB2312" w:cs="仿宋_GB2312" w:eastAsia="仿宋_GB2312"/>
                    </w:rPr>
                    <w:t xml:space="preserve"> 27.▲为保证产品质量，产品不接受OEM/ODM，所投产品生产制造商需具备自主生产能力，提供所投产品型号CCC认证证书并加盖原厂公章（证书的产品名称需明确标识“COB”，且认证人、生产者、生产企业名称需为同一名称或属同一集团）；</w:t>
                  </w:r>
                  <w:r>
                    <w:br/>
                  </w:r>
                  <w:r>
                    <w:rPr>
                      <w:rFonts w:ascii="仿宋_GB2312" w:hAnsi="仿宋_GB2312" w:cs="仿宋_GB2312" w:eastAsia="仿宋_GB2312"/>
                    </w:rPr>
                    <w:t xml:space="preserve"> 28.▲所投LED显示屏具有中国节能产品认证证书和环境标志(I型)产品认证证书，提供证书复印件并加盖原厂公章；</w:t>
                  </w:r>
                  <w:r>
                    <w:br/>
                  </w:r>
                  <w:r>
                    <w:rPr>
                      <w:rFonts w:ascii="仿宋_GB2312" w:hAnsi="仿宋_GB2312" w:cs="仿宋_GB2312" w:eastAsia="仿宋_GB2312"/>
                    </w:rPr>
                    <w:t xml:space="preserve"> 29.▲所投产品制造厂家需具有ISO9001质量管理体系认证、ISO14001环境管理体系认证、ISO45001职业健康安全管理体系认证、IECQ QC080000有害物质过程管理体系认证证书，提供证书复印件并加盖原厂公章；</w:t>
                  </w:r>
                  <w:r>
                    <w:br/>
                  </w:r>
                  <w:r>
                    <w:rPr>
                      <w:rFonts w:ascii="仿宋_GB2312" w:hAnsi="仿宋_GB2312" w:cs="仿宋_GB2312" w:eastAsia="仿宋_GB2312"/>
                    </w:rPr>
                    <w:t xml:space="preserve"> 30.▲所投LED制造厂家或投标人具有GB/T 27922售后服务体系完善程度十二星级以上认证证书，提供认监网可查的证书复印件并加盖公章；</w:t>
                  </w:r>
                  <w:r>
                    <w:br/>
                  </w:r>
                  <w:r>
                    <w:rPr>
                      <w:rFonts w:ascii="仿宋_GB2312" w:hAnsi="仿宋_GB2312" w:cs="仿宋_GB2312" w:eastAsia="仿宋_GB2312"/>
                    </w:rPr>
                    <w:t xml:space="preserve"> 31.▲所投产品制造厂家应具有ISO 22320(GB/T 37228)安全应急响应管理体系认证证书，提供认证证书及全国认证认可信息公共服务平台（http://cx.cnca.cn）认证信息查询截图（截图需显示证书状态为有效）；</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23.654</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可视化视频处理</w:t>
                  </w:r>
                  <w:r>
                    <w:br/>
                  </w:r>
                  <w:r>
                    <w:rPr>
                      <w:rFonts w:ascii="仿宋_GB2312" w:hAnsi="仿宋_GB2312" w:cs="仿宋_GB2312" w:eastAsia="仿宋_GB2312"/>
                      <w:sz w:val="22"/>
                      <w:color w:val="000000"/>
                    </w:rPr>
                    <w:t xml:space="preserve"> 控制器</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1、纯硬件插卡式架构设计，设备大小不超过5U,金属结构机箱，支持标准机架式安装；</w:t>
                  </w:r>
                  <w:r>
                    <w:br/>
                  </w:r>
                  <w:r>
                    <w:rPr>
                      <w:rFonts w:ascii="仿宋_GB2312" w:hAnsi="仿宋_GB2312" w:cs="仿宋_GB2312" w:eastAsia="仿宋_GB2312"/>
                      <w:sz w:val="22"/>
                      <w:color w:val="000000"/>
                    </w:rPr>
                    <w:t xml:space="preserve"> ▲2、前面板内嵌不小于7英寸液晶显示屏，可触摸进行显示设备运行状态与控制，包括但不限于：设备名称、接口状态、运行状态，参数设置、固件升级、文件备份、预监回显查看等；（投标人需提供首页带有“CNAS”“ilac-MRA”“CMA”标志的检测机构出具的检测报告并加盖生产厂商鲜章）</w:t>
                  </w:r>
                  <w:r>
                    <w:br/>
                  </w:r>
                  <w:r>
                    <w:rPr>
                      <w:rFonts w:ascii="仿宋_GB2312" w:hAnsi="仿宋_GB2312" w:cs="仿宋_GB2312" w:eastAsia="仿宋_GB2312"/>
                      <w:sz w:val="22"/>
                      <w:color w:val="000000"/>
                    </w:rPr>
                    <w:t xml:space="preserve"> 3、设备支持不少于2路HDMI1.3视频输入、2路HDMI1.4视频输入，支持不少于48路网口输出，单张网口输出卡最大输出分辨率不少于5120*2048；</w:t>
                  </w:r>
                  <w:r>
                    <w:br/>
                  </w:r>
                  <w:r>
                    <w:rPr>
                      <w:rFonts w:ascii="仿宋_GB2312" w:hAnsi="仿宋_GB2312" w:cs="仿宋_GB2312" w:eastAsia="仿宋_GB2312"/>
                      <w:sz w:val="22"/>
                      <w:color w:val="000000"/>
                    </w:rPr>
                    <w:t xml:space="preserve"> ▲4、单张输出板卡支持不少于16个图层，支持图层在输出接口间漫游，可进行图层缩放、翻转、截取、冻结等参数设置；（投标人需提供首页带有“CNAS”“ilac-MRA”“CMA”标志的检测机构出具的检测报告并加盖生产厂商鲜章）</w:t>
                  </w:r>
                  <w:r>
                    <w:br/>
                  </w:r>
                  <w:r>
                    <w:rPr>
                      <w:rFonts w:ascii="仿宋_GB2312" w:hAnsi="仿宋_GB2312" w:cs="仿宋_GB2312" w:eastAsia="仿宋_GB2312"/>
                      <w:sz w:val="22"/>
                      <w:color w:val="000000"/>
                    </w:rPr>
                    <w:t xml:space="preserve"> ▲5、输出接口均支持添加一个背景图和一个OSD字幕，背景图及OSD最大支持64KK，且支持透明度及位置自由调节（投标人需提供首页带有“CNAS”“ilac-MRA”“CMA”标志的检测机构出具的检测报告并加盖生产厂商鲜章）</w:t>
                  </w:r>
                  <w:r>
                    <w:br/>
                  </w:r>
                  <w:r>
                    <w:rPr>
                      <w:rFonts w:ascii="仿宋_GB2312" w:hAnsi="仿宋_GB2312" w:cs="仿宋_GB2312" w:eastAsia="仿宋_GB2312"/>
                      <w:sz w:val="22"/>
                      <w:color w:val="000000"/>
                    </w:rPr>
                    <w:t xml:space="preserve"> 6、IPC输入卡支持不低于4K视频接入，不低于16路视频解码输出；</w:t>
                  </w:r>
                  <w:r>
                    <w:br/>
                  </w:r>
                  <w:r>
                    <w:rPr>
                      <w:rFonts w:ascii="仿宋_GB2312" w:hAnsi="仿宋_GB2312" w:cs="仿宋_GB2312" w:eastAsia="仿宋_GB2312"/>
                      <w:sz w:val="22"/>
                      <w:color w:val="000000"/>
                    </w:rPr>
                    <w:t xml:space="preserve"> 7、为了提升设备的故障排查效率，可监测设备温度、电压、风扇在线状态，支持智能识别板卡接口组合，板卡和接口状态监测，信号丢失预警；</w:t>
                  </w:r>
                  <w:r>
                    <w:br/>
                  </w:r>
                  <w:r>
                    <w:rPr>
                      <w:rFonts w:ascii="仿宋_GB2312" w:hAnsi="仿宋_GB2312" w:cs="仿宋_GB2312" w:eastAsia="仿宋_GB2312"/>
                      <w:sz w:val="22"/>
                      <w:color w:val="000000"/>
                    </w:rPr>
                    <w:t xml:space="preserve"> 8、支持屏幕背景图显示；支持对输入添加文字或图片台标，文字与图片背景、位置可调；支持对输入添加OSD文字或图片，属性可调；（投标人需提供首页带有“CNAS”“ilac-MRA”“CMA”标志的检测机构出具的检测报告并加盖生产厂商鲜章）</w:t>
                  </w:r>
                  <w:r>
                    <w:br/>
                  </w:r>
                  <w:r>
                    <w:rPr>
                      <w:rFonts w:ascii="仿宋_GB2312" w:hAnsi="仿宋_GB2312" w:cs="仿宋_GB2312" w:eastAsia="仿宋_GB2312"/>
                      <w:sz w:val="22"/>
                      <w:color w:val="000000"/>
                    </w:rPr>
                    <w:t xml:space="preserve"> ▲9、支持不少于2000个用户场景，可设置为图片或视频，场景切换支持淡入淡出、直切效果；场景调取响应时间不超过60ms,支持对场景分组和进行场景轮巡；（投标人需提供首页带有“CNAS”“ilac-MRA”“CMA”标志的检测机构出具的检测报告并加盖生产厂商鲜章）</w:t>
                  </w:r>
                  <w:r>
                    <w:br/>
                  </w:r>
                  <w:r>
                    <w:rPr>
                      <w:rFonts w:ascii="仿宋_GB2312" w:hAnsi="仿宋_GB2312" w:cs="仿宋_GB2312" w:eastAsia="仿宋_GB2312"/>
                      <w:sz w:val="22"/>
                      <w:color w:val="000000"/>
                    </w:rPr>
                    <w:t xml:space="preserve"> 10、支持对所有输入源同时预监，对所有输出进行回显（包含IP流回显）；</w:t>
                  </w:r>
                  <w:r>
                    <w:br/>
                  </w:r>
                  <w:r>
                    <w:rPr>
                      <w:rFonts w:ascii="仿宋_GB2312" w:hAnsi="仿宋_GB2312" w:cs="仿宋_GB2312" w:eastAsia="仿宋_GB2312"/>
                      <w:sz w:val="22"/>
                      <w:color w:val="000000"/>
                    </w:rPr>
                    <w:t xml:space="preserve"> ▲11、支持用户权限分级管控，超级管理员可分配用户使用权限，支持自定义输入输出EDID，可导入导出，支持高级时序设置；（投标人需提供首页带有“CNAS”“ilac-MRA”“CMA”标志的检测机构出具的检测报告并加盖生产厂商鲜章）</w:t>
                  </w:r>
                  <w:r>
                    <w:br/>
                  </w:r>
                  <w:r>
                    <w:rPr>
                      <w:rFonts w:ascii="仿宋_GB2312" w:hAnsi="仿宋_GB2312" w:cs="仿宋_GB2312" w:eastAsia="仿宋_GB2312"/>
                      <w:sz w:val="22"/>
                      <w:color w:val="000000"/>
                    </w:rPr>
                    <w:t xml:space="preserve"> 12、支持实时和预编模式，实时模式可实现画面控制实时上屏显示，预编模式支持在软件端进行显示内容预编辑后，再上屏显示；</w:t>
                  </w:r>
                  <w:r>
                    <w:br/>
                  </w:r>
                  <w:r>
                    <w:rPr>
                      <w:rFonts w:ascii="仿宋_GB2312" w:hAnsi="仿宋_GB2312" w:cs="仿宋_GB2312" w:eastAsia="仿宋_GB2312"/>
                      <w:sz w:val="22"/>
                      <w:color w:val="000000"/>
                    </w:rPr>
                    <w:t xml:space="preserve"> 13、支持输入源画面任意截取，对截取的画面开窗调用，并可作为一个新的输入源，不影响原输入源的使用；</w:t>
                  </w:r>
                  <w:r>
                    <w:br/>
                  </w:r>
                  <w:r>
                    <w:rPr>
                      <w:rFonts w:ascii="仿宋_GB2312" w:hAnsi="仿宋_GB2312" w:cs="仿宋_GB2312" w:eastAsia="仿宋_GB2312"/>
                      <w:sz w:val="22"/>
                      <w:color w:val="000000"/>
                    </w:rPr>
                    <w:t xml:space="preserve"> ▲14、系统需具备良好的兼容性，拼接器配置软件至少需支持windows、麒麟、IOS、Android、Linux等操作系统访问设备及交互操作；（投标人需提供首页带有“CNAS”“ilac-MRA”“CMA”标志的检测机构出具的检测报告并加盖生产厂商鲜章）</w:t>
                  </w:r>
                  <w:r>
                    <w:br/>
                  </w:r>
                  <w:r>
                    <w:rPr>
                      <w:rFonts w:ascii="仿宋_GB2312" w:hAnsi="仿宋_GB2312" w:cs="仿宋_GB2312" w:eastAsia="仿宋_GB2312"/>
                      <w:sz w:val="22"/>
                      <w:color w:val="000000"/>
                    </w:rPr>
                    <w:t xml:space="preserve"> 15、主机支持集成中央控制板卡，可支持RS485,RS232,RS422,IO,relay,IR等接口协议，便于外围设备的集中控制</w:t>
                  </w:r>
                  <w:r>
                    <w:br/>
                  </w:r>
                  <w:r>
                    <w:rPr>
                      <w:rFonts w:ascii="仿宋_GB2312" w:hAnsi="仿宋_GB2312" w:cs="仿宋_GB2312" w:eastAsia="仿宋_GB2312"/>
                      <w:sz w:val="22"/>
                      <w:color w:val="000000"/>
                    </w:rPr>
                    <w:t xml:space="preserve"> 16、支持音频输入输出卡，单张音频输入输出卡支持2路双声进音频输入，2路双声道音烦输出，音频采样率48KHZ，可支持音量调节及音频输出延时设置。</w:t>
                  </w:r>
                  <w:r>
                    <w:br/>
                  </w:r>
                  <w:r>
                    <w:rPr>
                      <w:rFonts w:ascii="仿宋_GB2312" w:hAnsi="仿宋_GB2312" w:cs="仿宋_GB2312" w:eastAsia="仿宋_GB2312"/>
                      <w:sz w:val="22"/>
                      <w:color w:val="000000"/>
                    </w:rPr>
                    <w:t xml:space="preserve"> 17、设备应具备HDBaset输入输出接口，可通过标准HDBaset转换盒，做视频远距离传输，视频源与设备间仅布置CAT5及以上标准网线即可；</w:t>
                  </w:r>
                  <w:r>
                    <w:br/>
                  </w:r>
                  <w:r>
                    <w:rPr>
                      <w:rFonts w:ascii="仿宋_GB2312" w:hAnsi="仿宋_GB2312" w:cs="仿宋_GB2312" w:eastAsia="仿宋_GB2312"/>
                      <w:sz w:val="22"/>
                      <w:color w:val="000000"/>
                    </w:rPr>
                    <w:t xml:space="preserve"> 18、可配含前端无缝切换器设备实现视频信号的远距离传输，支持4x10GOPT接口(2主2备):单卡最大支持4096x2160@60Hz分辩率输入，可设置独立模式和MOSAIC拼接模式两种输入模式，自动识别输入源分辩率和颜色空间；</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接收控制器</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1、单卡最大带载分辨率 512×512@60Hz，最多支持16组并行数据；</w:t>
                  </w:r>
                  <w:r>
                    <w:br/>
                  </w:r>
                  <w:r>
                    <w:rPr>
                      <w:rFonts w:ascii="仿宋_GB2312" w:hAnsi="仿宋_GB2312" w:cs="仿宋_GB2312" w:eastAsia="仿宋_GB2312"/>
                      <w:sz w:val="22"/>
                      <w:color w:val="000000"/>
                    </w:rPr>
                    <w:t xml:space="preserve"> 2、无需转接板，单卡自带HUB75接口，更加稳定；</w:t>
                  </w:r>
                  <w:r>
                    <w:br/>
                  </w:r>
                  <w:r>
                    <w:rPr>
                      <w:rFonts w:ascii="仿宋_GB2312" w:hAnsi="仿宋_GB2312" w:cs="仿宋_GB2312" w:eastAsia="仿宋_GB2312"/>
                      <w:sz w:val="22"/>
                      <w:color w:val="000000"/>
                    </w:rPr>
                    <w:t xml:space="preserve"> 3、支持亮度校正，对每个灯点的亮度进行校正，有效消除亮度差异，使整屏的亮度达到高度一致；</w:t>
                  </w:r>
                  <w:r>
                    <w:br/>
                  </w:r>
                  <w:r>
                    <w:rPr>
                      <w:rFonts w:ascii="仿宋_GB2312" w:hAnsi="仿宋_GB2312" w:cs="仿宋_GB2312" w:eastAsia="仿宋_GB2312"/>
                      <w:sz w:val="22"/>
                      <w:color w:val="000000"/>
                    </w:rPr>
                    <w:t xml:space="preserve"> 4、快速亮暗线调节在调试软件上进行快速亮暗线调节，快速解决因箱体及模组拼接造成的显示屏亮暗线，调节过程中即时生效，简单易用；</w:t>
                  </w:r>
                  <w:r>
                    <w:br/>
                  </w:r>
                  <w:r>
                    <w:rPr>
                      <w:rFonts w:ascii="仿宋_GB2312" w:hAnsi="仿宋_GB2312" w:cs="仿宋_GB2312" w:eastAsia="仿宋_GB2312"/>
                      <w:sz w:val="22"/>
                      <w:color w:val="000000"/>
                    </w:rPr>
                    <w:t xml:space="preserve"> 5、配合支持3D功能的独立主控，在软件或独立主控的操作面板上开启3D功能，并设置3D参数，使画面显示3D效果；</w:t>
                  </w:r>
                  <w:r>
                    <w:br/>
                  </w:r>
                  <w:r>
                    <w:rPr>
                      <w:rFonts w:ascii="仿宋_GB2312" w:hAnsi="仿宋_GB2312" w:cs="仿宋_GB2312" w:eastAsia="仿宋_GB2312"/>
                      <w:sz w:val="22"/>
                      <w:color w:val="000000"/>
                    </w:rPr>
                    <w:t xml:space="preserve"> 6、Mapping功能开启，每个箱体上会显示数字，清楚告诉您当前箱体是哪个网口下的哪张接收卡，直观的看到显示屏连接状况。从此让箱体排查变得轻松简单，快速定位问题箱体，再也无需再爬上爬下，根据走线更改连屏文件即可；</w:t>
                  </w:r>
                  <w:r>
                    <w:br/>
                  </w:r>
                  <w:r>
                    <w:rPr>
                      <w:rFonts w:ascii="仿宋_GB2312" w:hAnsi="仿宋_GB2312" w:cs="仿宋_GB2312" w:eastAsia="仿宋_GB2312"/>
                      <w:sz w:val="22"/>
                      <w:color w:val="000000"/>
                    </w:rPr>
                    <w:t xml:space="preserve"> 7、可以监测自身的温度和电压，无需其他外设，在软件上可以查看接收卡的温度和电压；</w:t>
                  </w:r>
                  <w:r>
                    <w:br/>
                  </w:r>
                  <w:r>
                    <w:rPr>
                      <w:rFonts w:ascii="仿宋_GB2312" w:hAnsi="仿宋_GB2312" w:cs="仿宋_GB2312" w:eastAsia="仿宋_GB2312"/>
                      <w:sz w:val="22"/>
                      <w:color w:val="000000"/>
                    </w:rPr>
                    <w:t xml:space="preserve"> 8、检测发送设备与接收卡间或接收卡与接收卡间的网络通讯质量，记录错误包数，协助排除网络通讯隐患；</w:t>
                  </w:r>
                  <w:r>
                    <w:br/>
                  </w:r>
                  <w:r>
                    <w:rPr>
                      <w:rFonts w:ascii="仿宋_GB2312" w:hAnsi="仿宋_GB2312" w:cs="仿宋_GB2312" w:eastAsia="仿宋_GB2312"/>
                      <w:sz w:val="22"/>
                      <w:color w:val="000000"/>
                    </w:rPr>
                    <w:t xml:space="preserve"> 9、支持5pin液晶模块，用于显示接收卡的温度、电压、单次运行时间和总运行时间；</w:t>
                  </w:r>
                  <w:r>
                    <w:br/>
                  </w:r>
                  <w:r>
                    <w:rPr>
                      <w:rFonts w:ascii="仿宋_GB2312" w:hAnsi="仿宋_GB2312" w:cs="仿宋_GB2312" w:eastAsia="仿宋_GB2312"/>
                      <w:sz w:val="22"/>
                      <w:color w:val="000000"/>
                    </w:rPr>
                    <w:t xml:space="preserve"> 10、支持回读接收卡的固件程序并保存到本地；</w:t>
                  </w:r>
                  <w:r>
                    <w:br/>
                  </w:r>
                  <w:r>
                    <w:rPr>
                      <w:rFonts w:ascii="仿宋_GB2312" w:hAnsi="仿宋_GB2312" w:cs="仿宋_GB2312" w:eastAsia="仿宋_GB2312"/>
                      <w:sz w:val="22"/>
                      <w:color w:val="000000"/>
                    </w:rPr>
                    <w:t xml:space="preserve"> 11、RGB独立Gamma调节技术增加调节维度，通过对“红Gamma”、“绿Gamma”、“蓝Gamma”分别进行调节，有效控制显示屏低灰不均匀、白平衡漂移等问题，使画面更加真实，提高色彩调节的灵活性。</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64.000</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定制结构</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外框面积共计：7m*3.61m=25.27㎡，国标40*40镀锌方管，双层钢结构，304哑光不锈钢包边</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50.540</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包装、运输</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所供物料包装，运输，搬运，现场外包装木架清理</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安装人工</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安装人工、焊接人工、辅助材料</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25.270</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吸顶音响</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金属同轴一体化吸顶扬声器，产品类型：吸顶扬声器；产品特点：</w:t>
                  </w:r>
                  <w:r>
                    <w:br/>
                  </w:r>
                  <w:r>
                    <w:rPr>
                      <w:rFonts w:ascii="仿宋_GB2312" w:hAnsi="仿宋_GB2312" w:cs="仿宋_GB2312" w:eastAsia="仿宋_GB2312"/>
                      <w:sz w:val="22"/>
                      <w:color w:val="000000"/>
                    </w:rPr>
                    <w:t xml:space="preserve"> 1、金属外壳，经久耐用，不变形；</w:t>
                  </w:r>
                  <w:r>
                    <w:br/>
                  </w:r>
                  <w:r>
                    <w:rPr>
                      <w:rFonts w:ascii="仿宋_GB2312" w:hAnsi="仿宋_GB2312" w:cs="仿宋_GB2312" w:eastAsia="仿宋_GB2312"/>
                      <w:sz w:val="22"/>
                      <w:color w:val="000000"/>
                    </w:rPr>
                    <w:t xml:space="preserve"> 2、全频喇叭单元，高低音清淅，全频段范围覆盖；</w:t>
                  </w:r>
                  <w:r>
                    <w:br/>
                  </w:r>
                  <w:r>
                    <w:rPr>
                      <w:rFonts w:ascii="仿宋_GB2312" w:hAnsi="仿宋_GB2312" w:cs="仿宋_GB2312" w:eastAsia="仿宋_GB2312"/>
                      <w:sz w:val="22"/>
                      <w:color w:val="000000"/>
                    </w:rPr>
                    <w:t xml:space="preserve"> 3、特殊阻尼处理，降低失真，频率响应平坦宽广；</w:t>
                  </w:r>
                  <w:r>
                    <w:br/>
                  </w:r>
                  <w:r>
                    <w:rPr>
                      <w:rFonts w:ascii="仿宋_GB2312" w:hAnsi="仿宋_GB2312" w:cs="仿宋_GB2312" w:eastAsia="仿宋_GB2312"/>
                      <w:sz w:val="22"/>
                      <w:color w:val="000000"/>
                    </w:rPr>
                    <w:t xml:space="preserve"> 4、高灵敏度，优越指向性，音质清澈亮丽悦耳；</w:t>
                  </w:r>
                  <w:r>
                    <w:br/>
                  </w:r>
                  <w:r>
                    <w:rPr>
                      <w:rFonts w:ascii="仿宋_GB2312" w:hAnsi="仿宋_GB2312" w:cs="仿宋_GB2312" w:eastAsia="仿宋_GB2312"/>
                      <w:sz w:val="22"/>
                      <w:color w:val="000000"/>
                    </w:rPr>
                    <w:t xml:space="preserve"> 5、吸顶嵌入式安装。</w:t>
                  </w:r>
                  <w:r>
                    <w:br/>
                  </w:r>
                  <w:r>
                    <w:rPr>
                      <w:rFonts w:ascii="仿宋_GB2312" w:hAnsi="仿宋_GB2312" w:cs="仿宋_GB2312" w:eastAsia="仿宋_GB2312"/>
                      <w:sz w:val="22"/>
                      <w:color w:val="000000"/>
                    </w:rPr>
                    <w:t xml:space="preserve"> 产品参数：</w:t>
                  </w:r>
                  <w:r>
                    <w:br/>
                  </w:r>
                  <w:r>
                    <w:rPr>
                      <w:rFonts w:ascii="仿宋_GB2312" w:hAnsi="仿宋_GB2312" w:cs="仿宋_GB2312" w:eastAsia="仿宋_GB2312"/>
                      <w:sz w:val="22"/>
                      <w:color w:val="000000"/>
                    </w:rPr>
                    <w:t xml:space="preserve"> 1、单元组合：全频喇叭5.5寸×1只，高音0.5寸×1只；</w:t>
                  </w:r>
                  <w:r>
                    <w:br/>
                  </w:r>
                  <w:r>
                    <w:rPr>
                      <w:rFonts w:ascii="仿宋_GB2312" w:hAnsi="仿宋_GB2312" w:cs="仿宋_GB2312" w:eastAsia="仿宋_GB2312"/>
                      <w:sz w:val="22"/>
                      <w:color w:val="000000"/>
                    </w:rPr>
                    <w:t xml:space="preserve"> 2、额定功率：15W，最大功率：18W；</w:t>
                  </w:r>
                  <w:r>
                    <w:br/>
                  </w:r>
                  <w:r>
                    <w:rPr>
                      <w:rFonts w:ascii="仿宋_GB2312" w:hAnsi="仿宋_GB2312" w:cs="仿宋_GB2312" w:eastAsia="仿宋_GB2312"/>
                      <w:sz w:val="22"/>
                      <w:color w:val="000000"/>
                    </w:rPr>
                    <w:t xml:space="preserve"> 3、输入方式：70V/100V；</w:t>
                  </w:r>
                  <w:r>
                    <w:br/>
                  </w:r>
                  <w:r>
                    <w:rPr>
                      <w:rFonts w:ascii="仿宋_GB2312" w:hAnsi="仿宋_GB2312" w:cs="仿宋_GB2312" w:eastAsia="仿宋_GB2312"/>
                      <w:sz w:val="22"/>
                      <w:color w:val="000000"/>
                    </w:rPr>
                    <w:t xml:space="preserve"> 4、灵 敏 度：98±3dB；</w:t>
                  </w:r>
                  <w:r>
                    <w:br/>
                  </w:r>
                  <w:r>
                    <w:rPr>
                      <w:rFonts w:ascii="仿宋_GB2312" w:hAnsi="仿宋_GB2312" w:cs="仿宋_GB2312" w:eastAsia="仿宋_GB2312"/>
                      <w:sz w:val="22"/>
                      <w:color w:val="000000"/>
                    </w:rPr>
                    <w:t xml:space="preserve"> 5、频率响应：110-18KHz；</w:t>
                  </w:r>
                  <w:r>
                    <w:br/>
                  </w:r>
                  <w:r>
                    <w:rPr>
                      <w:rFonts w:ascii="仿宋_GB2312" w:hAnsi="仿宋_GB2312" w:cs="仿宋_GB2312" w:eastAsia="仿宋_GB2312"/>
                      <w:sz w:val="22"/>
                      <w:color w:val="000000"/>
                    </w:rPr>
                    <w:t xml:space="preserve"> 6、开孔尺寸：Ф165(mm)；</w:t>
                  </w:r>
                  <w:r>
                    <w:br/>
                  </w:r>
                  <w:r>
                    <w:rPr>
                      <w:rFonts w:ascii="仿宋_GB2312" w:hAnsi="仿宋_GB2312" w:cs="仿宋_GB2312" w:eastAsia="仿宋_GB2312"/>
                      <w:sz w:val="22"/>
                      <w:color w:val="000000"/>
                    </w:rPr>
                    <w:t xml:space="preserve"> 7、产品尺寸：Ф200×60(mm)；</w:t>
                  </w:r>
                  <w:r>
                    <w:br/>
                  </w:r>
                  <w:r>
                    <w:rPr>
                      <w:rFonts w:ascii="仿宋_GB2312" w:hAnsi="仿宋_GB2312" w:cs="仿宋_GB2312" w:eastAsia="仿宋_GB2312"/>
                      <w:sz w:val="22"/>
                      <w:color w:val="000000"/>
                    </w:rPr>
                    <w:t xml:space="preserve"> 8、外壳材料：铁；</w:t>
                  </w:r>
                  <w:r>
                    <w:br/>
                  </w:r>
                  <w:r>
                    <w:rPr>
                      <w:rFonts w:ascii="仿宋_GB2312" w:hAnsi="仿宋_GB2312" w:cs="仿宋_GB2312" w:eastAsia="仿宋_GB2312"/>
                      <w:sz w:val="22"/>
                      <w:color w:val="000000"/>
                    </w:rPr>
                    <w:t xml:space="preserve"> 9、净　　重：0.7(kg)</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专业双通道功率</w:t>
                  </w:r>
                  <w:r>
                    <w:br/>
                  </w:r>
                  <w:r>
                    <w:rPr>
                      <w:rFonts w:ascii="仿宋_GB2312" w:hAnsi="仿宋_GB2312" w:cs="仿宋_GB2312" w:eastAsia="仿宋_GB2312"/>
                      <w:sz w:val="22"/>
                      <w:color w:val="000000"/>
                    </w:rPr>
                    <w:t xml:space="preserve"> 放大器</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1、内置MP3解码播放模块，支持U盘与TF卡接入播放，配送红外遥控器，便于用户操作；</w:t>
                  </w:r>
                  <w:r>
                    <w:br/>
                  </w:r>
                  <w:r>
                    <w:rPr>
                      <w:rFonts w:ascii="仿宋_GB2312" w:hAnsi="仿宋_GB2312" w:cs="仿宋_GB2312" w:eastAsia="仿宋_GB2312"/>
                      <w:sz w:val="22"/>
                      <w:color w:val="000000"/>
                    </w:rPr>
                    <w:t xml:space="preserve"> 2、设有2路话筒输入，2路AUX线路输入，1路EMG紧急输入，1路辅助输出；</w:t>
                  </w:r>
                  <w:r>
                    <w:br/>
                  </w:r>
                  <w:r>
                    <w:rPr>
                      <w:rFonts w:ascii="仿宋_GB2312" w:hAnsi="仿宋_GB2312" w:cs="仿宋_GB2312" w:eastAsia="仿宋_GB2312"/>
                      <w:sz w:val="22"/>
                      <w:color w:val="000000"/>
                    </w:rPr>
                    <w:t xml:space="preserve"> 3、功率输出设有70V/100V定压输出，及4-16Ω定阻输出；</w:t>
                  </w:r>
                  <w:r>
                    <w:br/>
                  </w:r>
                  <w:r>
                    <w:rPr>
                      <w:rFonts w:ascii="仿宋_GB2312" w:hAnsi="仿宋_GB2312" w:cs="仿宋_GB2312" w:eastAsia="仿宋_GB2312"/>
                      <w:sz w:val="22"/>
                      <w:color w:val="000000"/>
                    </w:rPr>
                    <w:t xml:space="preserve"> 4、每路信号输入设有独立音量控制（除EMG信号输入外），并带有高低音与总音量调节；</w:t>
                  </w:r>
                  <w:r>
                    <w:br/>
                  </w:r>
                  <w:r>
                    <w:rPr>
                      <w:rFonts w:ascii="仿宋_GB2312" w:hAnsi="仿宋_GB2312" w:cs="仿宋_GB2312" w:eastAsia="仿宋_GB2312"/>
                      <w:sz w:val="22"/>
                      <w:color w:val="000000"/>
                    </w:rPr>
                    <w:t xml:space="preserve"> 5、设有3级优先功能，EMG为最高优先，其次是话筒1（MIC1)设为第2级优先，第3级为AUX1、AUX2、MIC2；</w:t>
                  </w:r>
                  <w:r>
                    <w:br/>
                  </w:r>
                  <w:r>
                    <w:rPr>
                      <w:rFonts w:ascii="仿宋_GB2312" w:hAnsi="仿宋_GB2312" w:cs="仿宋_GB2312" w:eastAsia="仿宋_GB2312"/>
                      <w:sz w:val="22"/>
                      <w:color w:val="000000"/>
                    </w:rPr>
                    <w:t xml:space="preserve"> 6、设备设有异常工作保护警告功能，当输入信号过大、负载过重、温度过高、线路短路时，对应的指示灯提示，有极高的可靠性。</w:t>
                  </w:r>
                  <w:r>
                    <w:br/>
                  </w:r>
                  <w:r>
                    <w:rPr>
                      <w:rFonts w:ascii="仿宋_GB2312" w:hAnsi="仿宋_GB2312" w:cs="仿宋_GB2312" w:eastAsia="仿宋_GB2312"/>
                      <w:sz w:val="22"/>
                      <w:color w:val="000000"/>
                    </w:rPr>
                    <w:t xml:space="preserve"> 7、2U标准机箱设计，铝合金面板，美观实用。</w:t>
                  </w:r>
                  <w:r>
                    <w:br/>
                  </w:r>
                  <w:r>
                    <w:rPr>
                      <w:rFonts w:ascii="仿宋_GB2312" w:hAnsi="仿宋_GB2312" w:cs="仿宋_GB2312" w:eastAsia="仿宋_GB2312"/>
                      <w:sz w:val="22"/>
                      <w:color w:val="000000"/>
                    </w:rPr>
                    <w:t xml:space="preserve"> 产品参数：</w:t>
                  </w:r>
                  <w:r>
                    <w:br/>
                  </w:r>
                  <w:r>
                    <w:rPr>
                      <w:rFonts w:ascii="仿宋_GB2312" w:hAnsi="仿宋_GB2312" w:cs="仿宋_GB2312" w:eastAsia="仿宋_GB2312"/>
                      <w:sz w:val="22"/>
                      <w:color w:val="000000"/>
                    </w:rPr>
                    <w:t xml:space="preserve"> 1、输出功率：240W；</w:t>
                  </w:r>
                  <w:r>
                    <w:br/>
                  </w:r>
                  <w:r>
                    <w:rPr>
                      <w:rFonts w:ascii="仿宋_GB2312" w:hAnsi="仿宋_GB2312" w:cs="仿宋_GB2312" w:eastAsia="仿宋_GB2312"/>
                      <w:sz w:val="22"/>
                      <w:color w:val="000000"/>
                    </w:rPr>
                    <w:t xml:space="preserve"> 2、输出方式：4-16hms(Ω)定阻输出、70V/100V定压输出；</w:t>
                  </w:r>
                  <w:r>
                    <w:br/>
                  </w:r>
                  <w:r>
                    <w:rPr>
                      <w:rFonts w:ascii="仿宋_GB2312" w:hAnsi="仿宋_GB2312" w:cs="仿宋_GB2312" w:eastAsia="仿宋_GB2312"/>
                      <w:sz w:val="22"/>
                      <w:color w:val="000000"/>
                    </w:rPr>
                    <w:t xml:space="preserve"> 3、输　　入：MIC:600 ohms (Ω),10mV(-54dBV),不平衡；LINE：10K ohms(Ω),250mV(-10dBV),不平衡； </w:t>
                  </w:r>
                  <w:r>
                    <w:br/>
                  </w:r>
                  <w:r>
                    <w:rPr>
                      <w:rFonts w:ascii="仿宋_GB2312" w:hAnsi="仿宋_GB2312" w:cs="仿宋_GB2312" w:eastAsia="仿宋_GB2312"/>
                      <w:sz w:val="22"/>
                      <w:color w:val="000000"/>
                    </w:rPr>
                    <w:t xml:space="preserve"> 4、频率响应：100Hz-16KHz；</w:t>
                  </w:r>
                  <w:r>
                    <w:br/>
                  </w:r>
                  <w:r>
                    <w:rPr>
                      <w:rFonts w:ascii="仿宋_GB2312" w:hAnsi="仿宋_GB2312" w:cs="仿宋_GB2312" w:eastAsia="仿宋_GB2312"/>
                      <w:sz w:val="22"/>
                      <w:color w:val="000000"/>
                    </w:rPr>
                    <w:t xml:space="preserve"> 5、失 真 度：≤1%；</w:t>
                  </w:r>
                  <w:r>
                    <w:br/>
                  </w:r>
                  <w:r>
                    <w:rPr>
                      <w:rFonts w:ascii="仿宋_GB2312" w:hAnsi="仿宋_GB2312" w:cs="仿宋_GB2312" w:eastAsia="仿宋_GB2312"/>
                      <w:sz w:val="22"/>
                      <w:color w:val="000000"/>
                    </w:rPr>
                    <w:t xml:space="preserve"> 6、信 噪 比：70dB；</w:t>
                  </w:r>
                  <w:r>
                    <w:br/>
                  </w:r>
                  <w:r>
                    <w:rPr>
                      <w:rFonts w:ascii="仿宋_GB2312" w:hAnsi="仿宋_GB2312" w:cs="仿宋_GB2312" w:eastAsia="仿宋_GB2312"/>
                      <w:sz w:val="22"/>
                      <w:color w:val="000000"/>
                    </w:rPr>
                    <w:t xml:space="preserve"> 7、保　　护：过热保护、短路保护、过载保护；</w:t>
                  </w:r>
                  <w:r>
                    <w:br/>
                  </w:r>
                  <w:r>
                    <w:rPr>
                      <w:rFonts w:ascii="仿宋_GB2312" w:hAnsi="仿宋_GB2312" w:cs="仿宋_GB2312" w:eastAsia="仿宋_GB2312"/>
                      <w:sz w:val="22"/>
                      <w:color w:val="000000"/>
                    </w:rPr>
                    <w:t xml:space="preserve"> 8、机器尺寸：485*340*88mm；</w:t>
                  </w:r>
                  <w:r>
                    <w:br/>
                  </w:r>
                  <w:r>
                    <w:rPr>
                      <w:rFonts w:ascii="仿宋_GB2312" w:hAnsi="仿宋_GB2312" w:cs="仿宋_GB2312" w:eastAsia="仿宋_GB2312"/>
                      <w:sz w:val="22"/>
                      <w:color w:val="000000"/>
                    </w:rPr>
                    <w:t xml:space="preserve"> 9、重　　量：8.5Kg；</w:t>
                  </w:r>
                  <w:r>
                    <w:br/>
                  </w:r>
                  <w:r>
                    <w:rPr>
                      <w:rFonts w:ascii="仿宋_GB2312" w:hAnsi="仿宋_GB2312" w:cs="仿宋_GB2312" w:eastAsia="仿宋_GB2312"/>
                      <w:sz w:val="22"/>
                      <w:color w:val="000000"/>
                    </w:rPr>
                    <w:t xml:space="preserve"> 10、电源功耗：200W。</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电子翻页笔</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A17大功率激光绿光翻页笔，100米远程可控，绿光128M，即插即用型，32G内存，激光亮度可调</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配套线材</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音频线300米、网线1200米、电源线300米</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原拼接屏拆除</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多人工搬移等、租赁脚手架、高空施工、角磨机切割腐朽螺母、电锤拆除预埋件等</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15.000</w:t>
                  </w:r>
                </w:p>
              </w:tc>
            </w:tr>
            <w:tr>
              <w:tc>
                <w:tcPr>
                  <w:tcW w:type="dxa" w:w="43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原拼接屏前装</w:t>
                  </w:r>
                  <w:r>
                    <w:br/>
                  </w:r>
                  <w:r>
                    <w:rPr>
                      <w:rFonts w:ascii="仿宋_GB2312" w:hAnsi="仿宋_GB2312" w:cs="仿宋_GB2312" w:eastAsia="仿宋_GB2312"/>
                      <w:sz w:val="22"/>
                      <w:color w:val="000000"/>
                    </w:rPr>
                    <w:t xml:space="preserve"> 钢架拆除</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多人工搬移等、租赁脚手架、角磨机切割腐朽螺母、电锤拆除预埋件等</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15.000</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屏幕拆装辅料</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多人员配合螺栓、轧带、胶布、胶等</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封堵门洞</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轻钢龙骨、石膏板饰面洞口尺寸高2050宽880厚240，防火防潮，耐火。</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踢脚线</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60*2200、黑色树脂踢脚线、原有墙面基层处理奥松板打底，绿色环保、无毒无味，防水防潮，高强度，防蛀虫</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117.00 </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窗户钢化玻璃</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大厅窗户更换10mm钢化玻璃（拆除原有破损玻璃包括基层套版不锈钢饰面板、窗台等）</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窗户边框不锈钢</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拆除旧玻璃边框更换新的不锈钢边框（基层采用木工板打底安装不锈钢加工件饰面）</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批腻子、乳胶漆</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环保腻子粉、乳胶漆，腻子光滑平整，不掉粉，前后刷三遍，乳胶漆，哑光，防霉，净味，抗菌，I级抗菌，净味二合一无添加，上墙粉刷两遍</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240.00 </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壁布</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无纺纯色布、环保糯米胶，耐磨，防水，纳米三层，防污防霉防潮，糯米胶打底</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35.00 </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形象墙广告字</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180PVC板材雕刻 白色字面附亚克力面层、人工刷图广告专用胶粘合</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国徽</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180PVC板材雕刻、吸塑造型、喷涂颜色 UV面层雕刻、人工刷图广告专用胶粘合</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灯具安装</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人工、工具、电工工具等</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架子床</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2000*1000*1800钢制加厚方管双层床，多层床板</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办公桌椅</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1400*800*700办公桌及钢制办公椅</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文件挂衣一体柜</w:t>
                  </w:r>
                </w:p>
              </w:tc>
              <w:tc>
                <w:tcPr>
                  <w:tcW w:type="dxa" w:w="17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1800\850\390加厚文件挂衣一体柜</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2.00 </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挂式空调</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壁挂式冷热双制空调、2P一级能效，内机身尺寸: 宽898mm，高319mm，深205mm，外机身尺寸：宽807mm，高555mm，深328mm</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套装门</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密度生态木门套版厚度180mm高度2050宽度800</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堂</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隔墙</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75轻钢龙骨基础、09mm石膏板饰面、中间6mm隔音棉夹层填充</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25.00 </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桥架</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100/200防火桥架（链接螺母、导线、接头等）</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地沟封堵</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人工、砂石、红砖沙子水泥等</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顶面冲孔天花</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吸引型600*600蜂窝冲孔天花扣板、加厚三角付骨、国标38主骨，高密度，抗变形，简约时尚 材质工艺：纯铝扣板吊顶，烤漆工艺，背面镀膜，防锈升级。</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HPL静电地板</w:t>
                  </w:r>
                </w:p>
              </w:tc>
              <w:tc>
                <w:tcPr>
                  <w:tcW w:type="dxa" w:w="17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600*600防火瓷砖面防滑静电地板、加粗可调节高度钢腿，钢板壳结构，水泥填充，防火等级：基材A级贴面FV1级，防静电，防火，耐磨，防腐，隔音，国标20*0.05铜箔、30*3铜排</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墙面开孔</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人工水钻开凿混凝土墙面</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机房KBJ布管</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4000*20*9金属KBJ管、专用线管弯头、直接等配件，消防镀锌线管</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防火门</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高2000mm宽800mm甲级防火等级</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防火门套</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2400mm*1200mm细面木工板、木工板基层、</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平板灯</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  600*600LED高亮度平板专用灯，Ra80-85（含）灯罩材质：PP（聚丙烯）</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机房拆除</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人工、机械、垃圾倒运等</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辅料</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五金、螺丝、胶布、轧带、软管等</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220V BV线材</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国标2.5-6平方BV铜芯线</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控制箱</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明装绝缘电箱、内配置元器件（双级、单级、漏电等）</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地砖铺贴</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防滑通体800*800地面瓷砖</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168</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地面拆除</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原地面拆除人工</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168</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暖气拆改</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铸铁暖气拆改及配件（对丝、活接、堵头、阀门等）</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饮水机</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冷热饮水茶吧一体机智能防干烧</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垃圾清运</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人工\机械</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材料运输</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人工\机械</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保洁</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人工、辅料洗涤剂等</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椅子</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高度不小于900mm；宽度不小于600mm；深度不小于600mm</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会议桌</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快拆会议桌1200mm*500mm*800mm</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双人工位</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1500mm*1200mm*800mm</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手写板</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多功能手写液晶屏</w:t>
                  </w:r>
                  <w:r>
                    <w:br/>
                  </w:r>
                  <w:r>
                    <w:rPr>
                      <w:rFonts w:ascii="仿宋_GB2312" w:hAnsi="仿宋_GB2312" w:cs="仿宋_GB2312" w:eastAsia="仿宋_GB2312"/>
                      <w:sz w:val="22"/>
                      <w:color w:val="000000"/>
                    </w:rPr>
                    <w:t xml:space="preserve"> 显示屏尺寸不小于10寸；</w:t>
                  </w:r>
                  <w:r>
                    <w:br/>
                  </w:r>
                  <w:r>
                    <w:rPr>
                      <w:rFonts w:ascii="仿宋_GB2312" w:hAnsi="仿宋_GB2312" w:cs="仿宋_GB2312" w:eastAsia="仿宋_GB2312"/>
                      <w:sz w:val="22"/>
                      <w:color w:val="000000"/>
                    </w:rPr>
                    <w:t xml:space="preserve"> 像素:1280*800</w:t>
                  </w:r>
                  <w:r>
                    <w:br/>
                  </w:r>
                  <w:r>
                    <w:rPr>
                      <w:rFonts w:ascii="仿宋_GB2312" w:hAnsi="仿宋_GB2312" w:cs="仿宋_GB2312" w:eastAsia="仿宋_GB2312"/>
                      <w:sz w:val="22"/>
                      <w:color w:val="000000"/>
                    </w:rPr>
                    <w:t xml:space="preserve"> 触控技术:无线无源电磁感应技术</w:t>
                  </w:r>
                  <w:r>
                    <w:br/>
                  </w:r>
                  <w:r>
                    <w:rPr>
                      <w:rFonts w:ascii="仿宋_GB2312" w:hAnsi="仿宋_GB2312" w:cs="仿宋_GB2312" w:eastAsia="仿宋_GB2312"/>
                      <w:sz w:val="22"/>
                      <w:color w:val="000000"/>
                    </w:rPr>
                    <w:t xml:space="preserve"> 分辨率:2048LPI</w:t>
                  </w:r>
                  <w:r>
                    <w:br/>
                  </w:r>
                  <w:r>
                    <w:rPr>
                      <w:rFonts w:ascii="仿宋_GB2312" w:hAnsi="仿宋_GB2312" w:cs="仿宋_GB2312" w:eastAsia="仿宋_GB2312"/>
                      <w:sz w:val="22"/>
                      <w:color w:val="000000"/>
                    </w:rPr>
                    <w:t xml:space="preserve"> 压感:1024</w:t>
                  </w:r>
                  <w:r>
                    <w:br/>
                  </w:r>
                  <w:r>
                    <w:rPr>
                      <w:rFonts w:ascii="仿宋_GB2312" w:hAnsi="仿宋_GB2312" w:cs="仿宋_GB2312" w:eastAsia="仿宋_GB2312"/>
                      <w:sz w:val="22"/>
                      <w:color w:val="000000"/>
                    </w:rPr>
                    <w:t xml:space="preserve"> 输入接口:USB x1数据线可调换</w:t>
                  </w:r>
                  <w:r>
                    <w:br/>
                  </w:r>
                  <w:r>
                    <w:rPr>
                      <w:rFonts w:ascii="仿宋_GB2312" w:hAnsi="仿宋_GB2312" w:cs="仿宋_GB2312" w:eastAsia="仿宋_GB2312"/>
                      <w:sz w:val="22"/>
                      <w:color w:val="000000"/>
                    </w:rPr>
                    <w:t xml:space="preserve"> 电源类型:USB供电(5V, 1A)</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会议音响设备</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尺寸205mm185mm300mm  50W高功率双音响、1拖8U频段鹅颈麦、双路输出200W功放支持2分区音量调节，无线发射接收器4台</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监控摄像头</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400万像素摄像头、POE网线供电、全景夜视功能</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监控存储设备</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4盘位录像机（含4t*2盘）、10口POE交换机</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监控显示器</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23.8寸双接口HDMI和VGA两种接口1080P高清分辨率，IPS屏</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精密空调</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机房精密空调、3P恒温恒湿一级能效恒温24H运转、158度送风</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空调管道</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铜质空调专用及保温</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机房消防</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GQQ70/2.5\1350\500\450、、七氟丙烷灭火装置充装密度1120kg立方米、工作温度范围0-50摄氏度 、压力4.2Mpa、灭火设计密度8-10%、启动方式自动手动机械应急启动、灭火方式全淹没灭火方式</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机房专用控制台</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主体框架厚度不小于1.5mm 长1200mm*宽900mm*高750mm </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违停抓拍球机</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传感器类型1/1.8英寸CMOS；</w:t>
                  </w:r>
                  <w:r>
                    <w:br/>
                  </w:r>
                  <w:r>
                    <w:rPr>
                      <w:rFonts w:ascii="仿宋_GB2312" w:hAnsi="仿宋_GB2312" w:cs="仿宋_GB2312" w:eastAsia="仿宋_GB2312"/>
                      <w:sz w:val="22"/>
                      <w:color w:val="000000"/>
                    </w:rPr>
                    <w:t xml:space="preserve"> 像素：400万；</w:t>
                  </w:r>
                  <w:r>
                    <w:br/>
                  </w:r>
                  <w:r>
                    <w:rPr>
                      <w:rFonts w:ascii="仿宋_GB2312" w:hAnsi="仿宋_GB2312" w:cs="仿宋_GB2312" w:eastAsia="仿宋_GB2312"/>
                      <w:sz w:val="22"/>
                      <w:color w:val="000000"/>
                    </w:rPr>
                    <w:t xml:space="preserve"> 光学变倍：不小于32倍；</w:t>
                  </w:r>
                  <w:r>
                    <w:br/>
                  </w:r>
                  <w:r>
                    <w:rPr>
                      <w:rFonts w:ascii="仿宋_GB2312" w:hAnsi="仿宋_GB2312" w:cs="仿宋_GB2312" w:eastAsia="仿宋_GB2312"/>
                      <w:sz w:val="22"/>
                      <w:color w:val="000000"/>
                    </w:rPr>
                    <w:t xml:space="preserve"> 最低照度：彩色：不高于0.001lux黑白：不高于0.0001lux（红外灯开启）；</w:t>
                  </w:r>
                  <w:r>
                    <w:br/>
                  </w:r>
                  <w:r>
                    <w:rPr>
                      <w:rFonts w:ascii="仿宋_GB2312" w:hAnsi="仿宋_GB2312" w:cs="仿宋_GB2312" w:eastAsia="仿宋_GB2312"/>
                      <w:sz w:val="22"/>
                      <w:color w:val="000000"/>
                    </w:rPr>
                    <w:t xml:space="preserve"> 最大补光距离：250m（红外）；</w:t>
                  </w:r>
                  <w:r>
                    <w:br/>
                  </w:r>
                  <w:r>
                    <w:rPr>
                      <w:rFonts w:ascii="仿宋_GB2312" w:hAnsi="仿宋_GB2312" w:cs="仿宋_GB2312" w:eastAsia="仿宋_GB2312"/>
                      <w:sz w:val="22"/>
                      <w:color w:val="000000"/>
                    </w:rPr>
                    <w:t xml:space="preserve"> 智能交通智能：包括城市道路违章取证、交通数据采集、道路事件检测、车辆布控跟踪四类智能</w:t>
                  </w:r>
                  <w:r>
                    <w:br/>
                  </w:r>
                  <w:r>
                    <w:rPr>
                      <w:rFonts w:ascii="仿宋_GB2312" w:hAnsi="仿宋_GB2312" w:cs="仿宋_GB2312" w:eastAsia="仿宋_GB2312"/>
                      <w:sz w:val="22"/>
                      <w:color w:val="000000"/>
                    </w:rPr>
                    <w:t xml:space="preserve"> 城市道路违章取证：细节路支持违停、逆行、压线、变道、机占非、掉头，违停有效检测距离不小于160m</w:t>
                  </w:r>
                  <w:r>
                    <w:br/>
                  </w:r>
                  <w:r>
                    <w:rPr>
                      <w:rFonts w:ascii="仿宋_GB2312" w:hAnsi="仿宋_GB2312" w:cs="仿宋_GB2312" w:eastAsia="仿宋_GB2312"/>
                      <w:sz w:val="22"/>
                      <w:color w:val="000000"/>
                    </w:rPr>
                    <w:t xml:space="preserve"> 网络接口：支持100M网络数据,RJ45网口,自适应网络数据</w:t>
                  </w:r>
                  <w:r>
                    <w:br/>
                  </w:r>
                  <w:r>
                    <w:rPr>
                      <w:rFonts w:ascii="仿宋_GB2312" w:hAnsi="仿宋_GB2312" w:cs="仿宋_GB2312" w:eastAsia="仿宋_GB2312"/>
                      <w:sz w:val="22"/>
                      <w:color w:val="000000"/>
                    </w:rPr>
                    <w:t xml:space="preserve"> 防护：IP67; 6000V 防雷、防浪涌、</w:t>
                  </w:r>
                  <w:r>
                    <w:br/>
                  </w:r>
                  <w:r>
                    <w:rPr>
                      <w:rFonts w:ascii="仿宋_GB2312" w:hAnsi="仿宋_GB2312" w:cs="仿宋_GB2312" w:eastAsia="仿宋_GB2312"/>
                      <w:sz w:val="22"/>
                      <w:color w:val="000000"/>
                    </w:rPr>
                    <w:t xml:space="preserve"> 全结构化：支持细节路混合目标检测，对检测区域内的人、非机动车、车进行同时抓拍上传，人脸人体关联输出，并实现对人脸、人体、车辆结构化属性特征信息提取</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4.00 </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解码器拆除及</w:t>
                  </w:r>
                  <w:r>
                    <w:br/>
                  </w:r>
                  <w:r>
                    <w:rPr>
                      <w:rFonts w:ascii="仿宋_GB2312" w:hAnsi="仿宋_GB2312" w:cs="仿宋_GB2312" w:eastAsia="仿宋_GB2312"/>
                      <w:sz w:val="22"/>
                      <w:color w:val="000000"/>
                    </w:rPr>
                    <w:t xml:space="preserve"> 安装调试</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大队原有解码器拆除并安装至黄堡中队机房，含配套线材，要求厂家技术人员现场督导配合，</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合同签订15日内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交付使用 并验收合格后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符合国家相关规定要求；验收合格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质保期两年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 同 的正常履行。 2、如因乙方工作人员在履行职务过程中的疏忽、失职、过错等故意或者过失原因给甲方造成损失或侵害， 包 括 但不限于甲方本身的财产损失以及由此而导致的甲方对任何第三方的法律责任等，乙方对此均应承担全部的赔偿责任。 二、 解决合同纠纷的方式 1、合同一经签订，不得随意变更、中止或终止。对确需变更、调整或者中止、终止合同的，应按 规定履 行相应的手续。 2、合同执行中发生争议的，甲、乙双方应协商解决，协商达不成一致时，可向甲方所在地人民法院 提请诉讼 。</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投标人须具备的资格文件证明.docx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投标人须具备的资格文件证明.docx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投标人须具备的资格文件证明.docx 申请人关联关系书面声明.docx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 然人参与的提供其有效身份证明：具有独立承担民事责任的能力，提供法人或者其 他组织的营业执照等证明文件，自然人参与的提供其有效身份证明。</w:t>
            </w:r>
          </w:p>
        </w:tc>
        <w:tc>
          <w:tcPr>
            <w:tcW w:type="dxa" w:w="1661"/>
          </w:tcPr>
          <w:p>
            <w:pPr>
              <w:pStyle w:val="null3"/>
            </w:pPr>
            <w:r>
              <w:rPr>
                <w:rFonts w:ascii="仿宋_GB2312" w:hAnsi="仿宋_GB2312" w:cs="仿宋_GB2312" w:eastAsia="仿宋_GB2312"/>
              </w:rPr>
              <w:t>投标人须具备的资格文件证明.docx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 企业的资产负债表和利润表），或提供投标文件递交截止之日前三个月内基本存款 账户开户银行开具的资信证明；</w:t>
            </w:r>
          </w:p>
        </w:tc>
        <w:tc>
          <w:tcPr>
            <w:tcW w:type="dxa" w:w="1661"/>
          </w:tcPr>
          <w:p>
            <w:pPr>
              <w:pStyle w:val="null3"/>
            </w:pPr>
            <w:r>
              <w:rPr>
                <w:rFonts w:ascii="仿宋_GB2312" w:hAnsi="仿宋_GB2312" w:cs="仿宋_GB2312" w:eastAsia="仿宋_GB2312"/>
              </w:rPr>
              <w:t>投标人须具备的资格文件证明.docx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提供2024年11月01日至今任意一个月的缴纳税收的证明材料,(依法免税的单位应 提供相关证明材料)；</w:t>
            </w:r>
          </w:p>
        </w:tc>
        <w:tc>
          <w:tcPr>
            <w:tcW w:type="dxa" w:w="1661"/>
          </w:tcPr>
          <w:p>
            <w:pPr>
              <w:pStyle w:val="null3"/>
            </w:pPr>
            <w:r>
              <w:rPr>
                <w:rFonts w:ascii="仿宋_GB2312" w:hAnsi="仿宋_GB2312" w:cs="仿宋_GB2312" w:eastAsia="仿宋_GB2312"/>
              </w:rPr>
              <w:t>投标人须具备的资格文件证明.docx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提供2024年11月01日至今任意一个月的依法缴纳社会保障资金的证明材料（依法 不需要缴纳社会保障资金的单位应提供相关证明材料）；</w:t>
            </w:r>
          </w:p>
        </w:tc>
        <w:tc>
          <w:tcPr>
            <w:tcW w:type="dxa" w:w="1661"/>
          </w:tcPr>
          <w:p>
            <w:pPr>
              <w:pStyle w:val="null3"/>
            </w:pPr>
            <w:r>
              <w:rPr>
                <w:rFonts w:ascii="仿宋_GB2312" w:hAnsi="仿宋_GB2312" w:cs="仿宋_GB2312" w:eastAsia="仿宋_GB2312"/>
              </w:rPr>
              <w:t>投标人须具备的资格文件证明.docx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具备履行合同所必须得设备和专业技术能力承诺书.docx 投标人须具备的资格文件证明.docx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 或重大税收违法案件当事人名单的供应商，不得为中国政府采购网（www.ccgp.g ov.cn）政府采购严重违法失信行为记录名单中被财政部门禁止参加政府采购活动 的供应商；</w:t>
            </w:r>
          </w:p>
        </w:tc>
        <w:tc>
          <w:tcPr>
            <w:tcW w:type="dxa" w:w="1661"/>
          </w:tcPr>
          <w:p>
            <w:pPr>
              <w:pStyle w:val="null3"/>
            </w:pPr>
            <w:r>
              <w:rPr>
                <w:rFonts w:ascii="仿宋_GB2312" w:hAnsi="仿宋_GB2312" w:cs="仿宋_GB2312" w:eastAsia="仿宋_GB2312"/>
              </w:rPr>
              <w:t>投标人须具备的资格文件证明.docx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 投标只须提交法定代表人身份证明并附身份证复印件）；</w:t>
            </w:r>
          </w:p>
        </w:tc>
        <w:tc>
          <w:tcPr>
            <w:tcW w:type="dxa" w:w="1661"/>
          </w:tcPr>
          <w:p>
            <w:pPr>
              <w:pStyle w:val="null3"/>
            </w:pPr>
            <w:r>
              <w:rPr>
                <w:rFonts w:ascii="仿宋_GB2312" w:hAnsi="仿宋_GB2312" w:cs="仿宋_GB2312" w:eastAsia="仿宋_GB2312"/>
              </w:rPr>
              <w:t>投标人须具备的资格文件证明.docx 投标人应提交的相关资格证明材料 法定代表人授权书.docx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交货期或合同履行期限</w:t>
            </w:r>
          </w:p>
        </w:tc>
        <w:tc>
          <w:tcPr>
            <w:tcW w:type="dxa" w:w="3322"/>
          </w:tcPr>
          <w:p>
            <w:pPr>
              <w:pStyle w:val="null3"/>
            </w:pPr>
            <w:r>
              <w:rPr>
                <w:rFonts w:ascii="仿宋_GB2312" w:hAnsi="仿宋_GB2312" w:cs="仿宋_GB2312" w:eastAsia="仿宋_GB2312"/>
              </w:rPr>
              <w:t>交货期或合同履行期限是否满足招标文件要 求</w:t>
            </w:r>
          </w:p>
        </w:tc>
        <w:tc>
          <w:tcPr>
            <w:tcW w:type="dxa" w:w="1661"/>
          </w:tcPr>
          <w:p>
            <w:pPr>
              <w:pStyle w:val="null3"/>
            </w:pPr>
            <w:r>
              <w:rPr>
                <w:rFonts w:ascii="仿宋_GB2312" w:hAnsi="仿宋_GB2312" w:cs="仿宋_GB2312" w:eastAsia="仿宋_GB2312"/>
              </w:rPr>
              <w:t>开标一览表 标的清单 服务技术方案.docx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响应文件签字、盖章是否满足招标文件要求</w:t>
            </w:r>
          </w:p>
        </w:tc>
        <w:tc>
          <w:tcPr>
            <w:tcW w:type="dxa" w:w="1661"/>
          </w:tcPr>
          <w:p>
            <w:pPr>
              <w:pStyle w:val="null3"/>
            </w:pPr>
            <w:r>
              <w:rPr>
                <w:rFonts w:ascii="仿宋_GB2312" w:hAnsi="仿宋_GB2312" w:cs="仿宋_GB2312" w:eastAsia="仿宋_GB2312"/>
              </w:rPr>
              <w:t>开标一览表 合同主要条款偏离表.docx 人员配置表.docx 中小企业声明函 商务应答表 商务应答表.docx 投标人应提交的相关资格证明材料 法定代表人授权书.docx 近年业绩的有关证明材料.docx 产品技术参数表 分项报价表.docx 投标函 具备履行合同所必须得设备和专业技术能力承诺书.docx 投标人须具备的资格文件证明.docx 残疾人福利性单位声明函 标的清单 服务技术方案.docx 申请人关联关系书面声明.docx 投标文件封面 产品技术参数表.docx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与招标文件商务要求条款不一致或增加了招标 人难以接受的条款。</w:t>
            </w:r>
          </w:p>
        </w:tc>
        <w:tc>
          <w:tcPr>
            <w:tcW w:type="dxa" w:w="1661"/>
          </w:tcPr>
          <w:p>
            <w:pPr>
              <w:pStyle w:val="null3"/>
            </w:pPr>
            <w:r>
              <w:rPr>
                <w:rFonts w:ascii="仿宋_GB2312" w:hAnsi="仿宋_GB2312" w:cs="仿宋_GB2312" w:eastAsia="仿宋_GB2312"/>
              </w:rPr>
              <w:t>合同主要条款偏离表.docx 投标函 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 性要求。</w:t>
            </w:r>
          </w:p>
        </w:tc>
        <w:tc>
          <w:tcPr>
            <w:tcW w:type="dxa" w:w="1661"/>
          </w:tcPr>
          <w:p>
            <w:pPr>
              <w:pStyle w:val="null3"/>
            </w:pPr>
            <w:r>
              <w:rPr>
                <w:rFonts w:ascii="仿宋_GB2312" w:hAnsi="仿宋_GB2312" w:cs="仿宋_GB2312" w:eastAsia="仿宋_GB2312"/>
              </w:rPr>
              <w:t>开标一览表 合同主要条款偏离表.docx 人员配置表.docx 中小企业声明函 商务应答表 商务应答表.docx 投标人应提交的相关资格证明材料 法定代表人授权书.docx 近年业绩的有关证明材料.docx 产品技术参数表 分项报价表.docx 投标函 具备履行合同所必须得设备和专业技术能力承诺书.docx 投标人须具备的资格文件证明.docx 残疾人福利性单位声明函 标的清单 服务技术方案.docx 申请人关联关系书面声明.docx 投标文件封面 产品技术参数表.docx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 术 偏 差</w:t>
            </w:r>
          </w:p>
        </w:tc>
        <w:tc>
          <w:tcPr>
            <w:tcW w:type="dxa" w:w="2492"/>
          </w:tcPr>
          <w:p>
            <w:pPr>
              <w:pStyle w:val="null3"/>
            </w:pPr>
            <w:r>
              <w:rPr>
                <w:rFonts w:ascii="仿宋_GB2312" w:hAnsi="仿宋_GB2312" w:cs="仿宋_GB2312" w:eastAsia="仿宋_GB2312"/>
              </w:rPr>
              <w:t>技术指标分关键技术指标（▲项） 和一般技术指标（非▲）。 完全满足竞争性磋商文件要求得30 分，关键技术指标（▲项）有1项负 偏离扣1分，一般技术指标（ 非▲）有1项负偏离扣0.5分，扣完 为止。 ▲项参数须提供相关技术指 标证明材料予以佐证。证明材料不 限于检测报告、试验报告、产品彩 页、厂家出具的技术证明文件、实 物照片、软件功能截图等。供应商 自行承担因材料提供不全导致的技 术参数评审风险。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服务技术方案.docx</w:t>
            </w:r>
          </w:p>
        </w:tc>
      </w:tr>
      <w:tr>
        <w:tc>
          <w:tcPr>
            <w:tcW w:type="dxa" w:w="831"/>
            <w:vMerge/>
          </w:tcPr>
          <w:p/>
        </w:tc>
        <w:tc>
          <w:tcPr>
            <w:tcW w:type="dxa" w:w="1661"/>
          </w:tcPr>
          <w:p>
            <w:pPr>
              <w:pStyle w:val="null3"/>
            </w:pPr>
            <w:r>
              <w:rPr>
                <w:rFonts w:ascii="仿宋_GB2312" w:hAnsi="仿宋_GB2312" w:cs="仿宋_GB2312" w:eastAsia="仿宋_GB2312"/>
              </w:rPr>
              <w:t>类似 业绩</w:t>
            </w:r>
          </w:p>
        </w:tc>
        <w:tc>
          <w:tcPr>
            <w:tcW w:type="dxa" w:w="2492"/>
          </w:tcPr>
          <w:p>
            <w:pPr>
              <w:pStyle w:val="null3"/>
            </w:pPr>
            <w:r>
              <w:rPr>
                <w:rFonts w:ascii="仿宋_GB2312" w:hAnsi="仿宋_GB2312" w:cs="仿宋_GB2312" w:eastAsia="仿宋_GB2312"/>
              </w:rPr>
              <w:t>以合同的形式提供投标人自2022年11月01日至今的类似业绩，每一份计1分，计满 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近年业绩的有关证明材料.docx</w:t>
            </w:r>
          </w:p>
        </w:tc>
      </w:tr>
      <w:tr>
        <w:tc>
          <w:tcPr>
            <w:tcW w:type="dxa" w:w="831"/>
            <w:vMerge/>
          </w:tcPr>
          <w:p/>
        </w:tc>
        <w:tc>
          <w:tcPr>
            <w:tcW w:type="dxa" w:w="1661"/>
          </w:tcPr>
          <w:p>
            <w:pPr>
              <w:pStyle w:val="null3"/>
            </w:pPr>
            <w:r>
              <w:rPr>
                <w:rFonts w:ascii="仿宋_GB2312" w:hAnsi="仿宋_GB2312" w:cs="仿宋_GB2312" w:eastAsia="仿宋_GB2312"/>
              </w:rPr>
              <w:t>产 品 来 源 渠 道</w:t>
            </w:r>
          </w:p>
        </w:tc>
        <w:tc>
          <w:tcPr>
            <w:tcW w:type="dxa" w:w="2492"/>
          </w:tcPr>
          <w:p>
            <w:pPr>
              <w:pStyle w:val="null3"/>
            </w:pPr>
            <w:r>
              <w:rPr>
                <w:rFonts w:ascii="仿宋_GB2312" w:hAnsi="仿宋_GB2312" w:cs="仿宋_GB2312" w:eastAsia="仿宋_GB2312"/>
              </w:rPr>
              <w:t>所供产品货源渠道正常，技术资料齐全，符合国家标准、无产权纠纷，提供相关证明材料(包括但不限于厂家授权、检测报告、质量认证证书、产品彩页等技术说明文件)，表述清楚明确、充分。评示纠员会根据响应情况赋分。 ①证明材料齐全，表述明确、充分得5-3分; ②证明材料不够齐全，表述不够明确、充得3-0分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服务技术方案.docx</w:t>
            </w:r>
          </w:p>
        </w:tc>
      </w:tr>
      <w:tr>
        <w:tc>
          <w:tcPr>
            <w:tcW w:type="dxa" w:w="831"/>
            <w:vMerge/>
          </w:tcPr>
          <w:p/>
        </w:tc>
        <w:tc>
          <w:tcPr>
            <w:tcW w:type="dxa" w:w="1661"/>
          </w:tcPr>
          <w:p>
            <w:pPr>
              <w:pStyle w:val="null3"/>
            </w:pPr>
            <w:r>
              <w:rPr>
                <w:rFonts w:ascii="仿宋_GB2312" w:hAnsi="仿宋_GB2312" w:cs="仿宋_GB2312" w:eastAsia="仿宋_GB2312"/>
              </w:rPr>
              <w:t>项 目 实 施 方 案</w:t>
            </w:r>
          </w:p>
        </w:tc>
        <w:tc>
          <w:tcPr>
            <w:tcW w:type="dxa" w:w="2492"/>
          </w:tcPr>
          <w:p>
            <w:pPr>
              <w:pStyle w:val="null3"/>
            </w:pPr>
            <w:r>
              <w:rPr>
                <w:rFonts w:ascii="仿宋_GB2312" w:hAnsi="仿宋_GB2312" w:cs="仿宋_GB2312" w:eastAsia="仿宋_GB2312"/>
              </w:rPr>
              <w:t>提供本项目完善的项目实施服务方案，内容完整、规范、科学、合理、安全、节能， 细节描述详细，有可实施性，根据响应程度优劣排序。 ①实施方案完整、可操作性强 、细节考虑到位计7-10分; ②实施方案基本完整，有相对的可操作性，描述良好的 计3-7分; ③描述符合采购内容要求，内容一般的计0-3分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服务技术方案.docx</w:t>
            </w:r>
          </w:p>
        </w:tc>
      </w:tr>
      <w:tr>
        <w:tc>
          <w:tcPr>
            <w:tcW w:type="dxa" w:w="831"/>
            <w:vMerge/>
          </w:tcPr>
          <w:p/>
        </w:tc>
        <w:tc>
          <w:tcPr>
            <w:tcW w:type="dxa" w:w="1661"/>
          </w:tcPr>
          <w:p>
            <w:pPr>
              <w:pStyle w:val="null3"/>
            </w:pPr>
            <w:r>
              <w:rPr>
                <w:rFonts w:ascii="仿宋_GB2312" w:hAnsi="仿宋_GB2312" w:cs="仿宋_GB2312" w:eastAsia="仿宋_GB2312"/>
              </w:rPr>
              <w:t>项 目 团 队</w:t>
            </w:r>
          </w:p>
        </w:tc>
        <w:tc>
          <w:tcPr>
            <w:tcW w:type="dxa" w:w="2492"/>
          </w:tcPr>
          <w:p>
            <w:pPr>
              <w:pStyle w:val="null3"/>
            </w:pPr>
            <w:r>
              <w:rPr>
                <w:rFonts w:ascii="仿宋_GB2312" w:hAnsi="仿宋_GB2312" w:cs="仿宋_GB2312" w:eastAsia="仿宋_GB2312"/>
              </w:rPr>
              <w:t>项目组人员配备情况: ①项目组织机构健全，人员经验丰富、配备合理计4-5分; ②项 目组织机构基本健全，人员经验较丰富、配备较合理计2-4分; ③项目组织机构不健全 ，人员经验一般、配备不太合理计0-2分。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人员配置表.docx</w:t>
            </w:r>
          </w:p>
        </w:tc>
      </w:tr>
      <w:tr>
        <w:tc>
          <w:tcPr>
            <w:tcW w:type="dxa" w:w="831"/>
            <w:vMerge/>
          </w:tcPr>
          <w:p/>
        </w:tc>
        <w:tc>
          <w:tcPr>
            <w:tcW w:type="dxa" w:w="1661"/>
          </w:tcPr>
          <w:p>
            <w:pPr>
              <w:pStyle w:val="null3"/>
            </w:pPr>
            <w:r>
              <w:rPr>
                <w:rFonts w:ascii="仿宋_GB2312" w:hAnsi="仿宋_GB2312" w:cs="仿宋_GB2312" w:eastAsia="仿宋_GB2312"/>
              </w:rPr>
              <w:t>售 后 服 务 承 诺</w:t>
            </w:r>
          </w:p>
        </w:tc>
        <w:tc>
          <w:tcPr>
            <w:tcW w:type="dxa" w:w="2492"/>
          </w:tcPr>
          <w:p>
            <w:pPr>
              <w:pStyle w:val="null3"/>
            </w:pPr>
            <w:r>
              <w:rPr>
                <w:rFonts w:ascii="仿宋_GB2312" w:hAnsi="仿宋_GB2312" w:cs="仿宋_GB2312" w:eastAsia="仿宋_GB2312"/>
              </w:rPr>
              <w:t>针对本项目实际需求提供实质性承诺，根据技术支持和售后服务方案中描述的质保内容、故障响应时效、零配件及易损件储备、发生故障后的补救措施、维护保养、提供本地化服务方案，确保实时响应等内容进行评分。 ①承诺内容全面，方案可行性强计7-10分; ②承诺内容宽泛、不具体计4-7分; ③承诺内容不满足需求，可行性差计0-4分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服务技术方案.docx</w:t>
            </w:r>
          </w:p>
          <w:p>
            <w:pPr>
              <w:pStyle w:val="null3"/>
            </w:pPr>
            <w:r>
              <w:rPr>
                <w:rFonts w:ascii="仿宋_GB2312" w:hAnsi="仿宋_GB2312" w:cs="仿宋_GB2312" w:eastAsia="仿宋_GB2312"/>
              </w:rPr>
              <w:t>具备履行合同所必须得设备和专业技术能力承诺书.docx</w:t>
            </w:r>
          </w:p>
        </w:tc>
      </w:tr>
      <w:tr>
        <w:tc>
          <w:tcPr>
            <w:tcW w:type="dxa" w:w="831"/>
            <w:vMerge/>
          </w:tcPr>
          <w:p/>
        </w:tc>
        <w:tc>
          <w:tcPr>
            <w:tcW w:type="dxa" w:w="1661"/>
          </w:tcPr>
          <w:p>
            <w:pPr>
              <w:pStyle w:val="null3"/>
            </w:pPr>
            <w:r>
              <w:rPr>
                <w:rFonts w:ascii="仿宋_GB2312" w:hAnsi="仿宋_GB2312" w:cs="仿宋_GB2312" w:eastAsia="仿宋_GB2312"/>
              </w:rPr>
              <w:t>人员 培训</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 独立操作，并进行简单故障排查处理项0-5分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 投标人的价格分按照下列公式计算： 投标报价得分=（评标基准价/投标报价）×价 格权值×100% 评审小组认为投标人的报价明显低于其他通过符合性审查投标人的报 价，有可能影响服务质量或者不能诚信履约的，应当要求其在评标现场合理的时间内 提供书面说明，必要时提交相关证明材料；投标人不能证明其报价合理性的，评审小 组应当将其作为无效投标处理。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详见附件：服务技术方案.docx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详见附件：具备履行合同所必须得设备和专业技术能力承诺书.docx</w:t>
      </w:r>
    </w:p>
    <w:p>
      <w:pPr>
        <w:pStyle w:val="null3"/>
        <w:ind w:firstLine="960"/>
      </w:pPr>
      <w:r>
        <w:rPr>
          <w:rFonts w:ascii="仿宋_GB2312" w:hAnsi="仿宋_GB2312" w:cs="仿宋_GB2312" w:eastAsia="仿宋_GB2312"/>
        </w:rPr>
        <w:t>详见附件：人员配置表.docx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详见附件：申请人关联关系书面声明.docx</w:t>
      </w:r>
    </w:p>
    <w:p>
      <w:pPr>
        <w:pStyle w:val="null3"/>
        <w:ind w:firstLine="960"/>
      </w:pPr>
      <w:r>
        <w:rPr>
          <w:rFonts w:ascii="仿宋_GB2312" w:hAnsi="仿宋_GB2312" w:cs="仿宋_GB2312" w:eastAsia="仿宋_GB2312"/>
        </w:rPr>
        <w:t>详见附件：投标人须具备的资格文件证明.docx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