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版本号：SXGLZFCG2025-046号20251128001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铜川新材料产业园区玉皇阁大道、照金路道路塌陷维修项目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SXGLZFCG2025-046号</w:t>
      </w:r>
      <w:r>
        <w:br/>
      </w:r>
      <w:r>
        <w:br/>
      </w:r>
      <w:r>
        <w:br/>
      </w:r>
    </w:p>
    <w:p>
      <w:pPr>
        <w:pStyle w:val="null3"/>
        <w:jc w:val="center"/>
        <w:outlineLvl w:val="2"/>
      </w:pPr>
      <w:r>
        <w:rPr>
          <w:rFonts w:ascii="仿宋_GB2312" w:hAnsi="仿宋_GB2312" w:cs="仿宋_GB2312" w:eastAsia="仿宋_GB2312"/>
          <w:sz w:val="28"/>
          <w:b/>
        </w:rPr>
        <w:t>铜川新材料产业园区管理委员会</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铜川新材料产业园区管理委员会</w:t>
      </w:r>
      <w:r>
        <w:rPr>
          <w:rFonts w:ascii="仿宋_GB2312" w:hAnsi="仿宋_GB2312" w:cs="仿宋_GB2312" w:eastAsia="仿宋_GB2312"/>
        </w:rPr>
        <w:t>委托，拟对</w:t>
      </w:r>
      <w:r>
        <w:rPr>
          <w:rFonts w:ascii="仿宋_GB2312" w:hAnsi="仿宋_GB2312" w:cs="仿宋_GB2312" w:eastAsia="仿宋_GB2312"/>
        </w:rPr>
        <w:t>铜川新材料产业园区玉皇阁大道、照金路道路塌陷维修项目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SXGLZFCG2025-046号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铜川新材料产业园区玉皇阁大道、照金路道路塌陷维修项目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主要内容包含路面的破除及修补；路基的开挖及回填；土方的开挖及回填；挡水墙的砌筑；砌筑检查井及埋设管道等。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采购包1（铜川新材料产业园区玉皇阁大道、照金路道路塌陷维修项目）：属于专门面向中小企业采购。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2、财务报告：提供（1）或提供（2）：（1）提供2024年度财务报告复印件，应满足以下要求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 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 不因“复印无效”字样而认定资信证明复印件无效）。 ③ 银行出具的存款证明不能替代银行资信证明；</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5、无重大违法记录声明：参加政府采购活动近三年内，在经营活动中没有重大违法记录，提供书面声明；</w:t>
      </w:r>
    </w:p>
    <w:p>
      <w:pPr>
        <w:pStyle w:val="null3"/>
      </w:pPr>
      <w:r>
        <w:rPr>
          <w:rFonts w:ascii="仿宋_GB2312" w:hAnsi="仿宋_GB2312" w:cs="仿宋_GB2312" w:eastAsia="仿宋_GB2312"/>
        </w:rPr>
        <w:t>6、税收缴纳证明：提供2025年至今已缴纳的1个月的纳税证明或完税证明，依法免税的单位应提供相关证明材料。供应商需在项目电子化交易系统中按要求上传相应证明文件并进行电子签章；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7、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8、资质要求：供应商须具有市政公用工程施工总承包三级及以上资质，且具有有效的安全生产许可证；</w:t>
      </w:r>
    </w:p>
    <w:p>
      <w:pPr>
        <w:pStyle w:val="null3"/>
      </w:pPr>
      <w:r>
        <w:rPr>
          <w:rFonts w:ascii="仿宋_GB2312" w:hAnsi="仿宋_GB2312" w:cs="仿宋_GB2312" w:eastAsia="仿宋_GB2312"/>
        </w:rPr>
        <w:t>9、项目经理：拟派项目经理具备市政公用工程二级注册建造师及以上执业资格，且具备有效的安全生产考核合格证书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铜川新材料产业园区管理委员会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陕西省铜川市耀州区坡头街道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陕西省铜川市王益区七一路25号工行3楼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铜川新材料产业园区管理委员会</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铜川新材料产业园区管理委员会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铜川新材料产业园区管理委员会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904,689.37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园区玉皇阁大道、照金路道路塌陷维修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标的名称：园区玉皇阁大道、照金路道路塌陷维修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rPr>
              <w:t>该项目位于铜川市新区坡头工业园区福利院门前照金路、华原二路与照金路交界处及纬九路口，主要工程内容包括：路面的破除及修补；路基的开挖及回填；土方的开挖及回填；挡水墙的砌筑；砌筑检查井及埋设管道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本项目最高限价为904,689.37元，各供应商所报价格不得超过最高限价（实质性要求），否则按无效响应文件对待。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 计年度财务报表（须提供会计师事务所出具的审计报告复印件）,复印件至少须包 括报告正文、资产负债表、现金流量表、利润表、附注和会计师事务所营业执照， 报告正文应当有会计师事务所公章和2名注册会计师的签字及盖章，且审计报告应 当经过注册会计师行业统一监管平台备案赋码。 ② 供应商适用《事业单位会计准 则》的，财务报告是指上述指定年度整个会计年度财务报表（不要求必须是经审计 的），复印件至少须包括资产负债表、收入支出表（或收入费用表）、财政补助收 入支出表。 ③ 供应商适用《政府会计准则》的，财务报告是指上述指定年度整个 会计年度财务报表（不要求必须是经审计的），复印件至少须包括资产负债表、收 入费用表。 ④ 供应商适用《民间非营利组织会计制度》的，财务报告是指上述指 定年度整个会计年度财务报表（不要求必须是经审计的），复印件至少须包括资产 负债表、业务活动表、现金流量表。 ⑤ 供应商是上述四种情况以外情况的，按照 其依法适用的会计制度、财务规则或会计准则提供 财务报表复印件（不要求必须 是经审计的）。 （2）提供资信证明原件或复印件，应满足以下要求： ① 资信证 明须为递交响应文件截止时间前三个月内由供应商基本账户开户银行出具。 ② 无 论开具银行是否标明“复印无效”，供应商提供的复印件在本次投标中予以认可（即 不因“复印无效”字样而认定资信证明复印件无效）。 ③ 银行出具的存款证明不能 替代银行资信证明；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 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 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拟派项目经理具备市政公用工程二级注册建造师及以上执业资格，且具备有效的安全生产考核合格证书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响应文件格式及签字盖章</w:t>
            </w:r>
          </w:p>
        </w:tc>
        <w:tc>
          <w:tcPr>
            <w:tcW w:type="dxa" w:w="3322"/>
          </w:tcPr>
          <w:p>
            <w:pPr>
              <w:pStyle w:val="null3"/>
            </w:pPr>
            <w:r>
              <w:rPr>
                <w:rFonts w:ascii="仿宋_GB2312" w:hAnsi="仿宋_GB2312" w:cs="仿宋_GB2312" w:eastAsia="仿宋_GB2312"/>
              </w:rPr>
              <w:t>完全满足磋商文件文件格式要求签字盖章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法定代表人身份证明书.docx 供应商应提交的相关资格证明材料.docx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需满足磋商文件要求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不论其大写或小写金额均只能有一个有效报价，且未超过最高限价。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技术方案及配备人员内容完全满足所有评审标准得15分；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2022年1月1日至今（以合同签订日期为准）类似项目业绩（以合同复印件或扫描件加盖公章为准）每个有效业绩得4分，满分共计8分。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2.满足竞争性磋商文件实质性要求且最后报价最低的供应商的价格为磋商基准价，其价格分为满分30分。 3.磋商报价得分=（磋商基准价/磋商评审价）×30的公式计算得分。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