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版本号：TWZB2025-18420251105001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铜川市森林草原防灭火无人机和无人机专用运输车辆购置项目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TWZB2025-184</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铜川市森林草原防灭火无人机和无人机专用运输车辆购置项目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铜川市森林草原防灭火无人机和无人机专用运输车辆购置项目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采购森林草原防灭火无人机和无人机专用运输车辆。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采购包1（无人机）：属于专门面向中小企业采购。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或其他组织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主要负责人）授权委托书及被授权人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师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10、供应商企业关联关系说明：单位负责人为同一人或者存在控股、管理关系的不同单位不得同时投标（提供供应商企业关系关联承诺书）</w:t>
      </w:r>
    </w:p>
    <w:p>
      <w:pPr>
        <w:pStyle w:val="null3"/>
      </w:pPr>
      <w:r>
        <w:rPr>
          <w:rFonts w:ascii="仿宋_GB2312" w:hAnsi="仿宋_GB2312" w:cs="仿宋_GB2312" w:eastAsia="仿宋_GB2312"/>
        </w:rPr>
        <w:t>11、中小企业声明函：合同包1专门面向中小企业采购（提供中小企业声明函），非中小企业单位（监狱企业、残疾人福利单位除外）不得参与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为合法注册的法人或其他组织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主要负责人）授权委托书及被授权人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师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10、供应商企业关联关系说明：单位负责人为同一人或者存在控股、管理关系的不同单位不得同时投标（提供供应商企业关系关联承诺书）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国家发展和改革委员会办公厅颁发的《关于招标代理服务收费有关问题的通知》（发改办价格〔2003〕857号）的有关规定执行。2。支付方式：中标供应商应在领取通知书的同时，支付本项目代理服务费。收款账户如下：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采购森林草原防灭火无人机和无人机专用运输车辆。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森林防灭火专用无人机及无人机专用灭火弹</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无人机专用运输车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标的名称：森林防灭火专用无人机及无人机专用灭火弹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森林防灭火无人机采购配置清单（</w:t>
            </w:r>
            <w:r>
              <w:rPr>
                <w:rFonts w:ascii="仿宋_GB2312" w:hAnsi="仿宋_GB2312" w:cs="仿宋_GB2312" w:eastAsia="仿宋_GB2312"/>
              </w:rPr>
              <w:t>2台）</w:t>
            </w:r>
          </w:p>
          <w:p>
            <w:pPr>
              <w:pStyle w:val="null3"/>
            </w:pPr>
            <w:r>
              <w:rPr>
                <w:rFonts w:ascii="仿宋_GB2312" w:hAnsi="仿宋_GB2312" w:cs="仿宋_GB2312" w:eastAsia="仿宋_GB2312"/>
              </w:rPr>
              <w:t>1.</w:t>
            </w:r>
            <w:r>
              <w:rPr>
                <w:rFonts w:ascii="仿宋_GB2312" w:hAnsi="仿宋_GB2312" w:cs="仿宋_GB2312" w:eastAsia="仿宋_GB2312"/>
              </w:rPr>
              <w:t>无人机构型：共轴、</w:t>
            </w:r>
            <w:r>
              <w:rPr>
                <w:rFonts w:ascii="仿宋_GB2312" w:hAnsi="仿宋_GB2312" w:cs="仿宋_GB2312" w:eastAsia="仿宋_GB2312"/>
              </w:rPr>
              <w:t>4轴8旋翼，一体式对称机身，螺旋桨可折叠。</w:t>
            </w:r>
          </w:p>
          <w:p>
            <w:pPr>
              <w:pStyle w:val="null3"/>
            </w:pPr>
            <w:r>
              <w:rPr>
                <w:rFonts w:ascii="仿宋_GB2312" w:hAnsi="仿宋_GB2312" w:cs="仿宋_GB2312" w:eastAsia="仿宋_GB2312"/>
              </w:rPr>
              <w:t>2.</w:t>
            </w:r>
            <w:r>
              <w:rPr>
                <w:rFonts w:ascii="仿宋_GB2312" w:hAnsi="仿宋_GB2312" w:cs="仿宋_GB2312" w:eastAsia="仿宋_GB2312"/>
              </w:rPr>
              <w:t>机身材质：机臂为航空铝合金，壳体等覆盖件为碳纤维。</w:t>
            </w:r>
            <w:r>
              <w:rPr>
                <w:rFonts w:ascii="仿宋_GB2312" w:hAnsi="仿宋_GB2312" w:cs="仿宋_GB2312" w:eastAsia="仿宋_GB2312"/>
                <w:color w:val="0000FF"/>
              </w:rPr>
              <w:t>（需提供</w:t>
            </w:r>
            <w:r>
              <w:rPr>
                <w:rFonts w:ascii="仿宋_GB2312" w:hAnsi="仿宋_GB2312" w:cs="仿宋_GB2312" w:eastAsia="仿宋_GB2312"/>
                <w:color w:val="0000FF"/>
              </w:rPr>
              <w:t>产品实物图</w:t>
            </w:r>
            <w:r>
              <w:rPr>
                <w:rFonts w:ascii="仿宋_GB2312" w:hAnsi="仿宋_GB2312" w:cs="仿宋_GB2312" w:eastAsia="仿宋_GB2312"/>
                <w:color w:val="0000FF"/>
              </w:rPr>
              <w:t>佐证）</w:t>
            </w:r>
          </w:p>
          <w:p>
            <w:pPr>
              <w:pStyle w:val="null3"/>
            </w:pPr>
            <w:r>
              <w:rPr>
                <w:rFonts w:ascii="仿宋_GB2312" w:hAnsi="仿宋_GB2312" w:cs="仿宋_GB2312" w:eastAsia="仿宋_GB2312"/>
              </w:rPr>
              <w:t>3.</w:t>
            </w:r>
            <w:r>
              <w:rPr>
                <w:rFonts w:ascii="仿宋_GB2312" w:hAnsi="仿宋_GB2312" w:cs="仿宋_GB2312" w:eastAsia="仿宋_GB2312"/>
              </w:rPr>
              <w:t>对角轴距：</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00mm。</w:t>
            </w:r>
          </w:p>
          <w:p>
            <w:pPr>
              <w:pStyle w:val="null3"/>
            </w:pPr>
            <w:r>
              <w:rPr>
                <w:rFonts w:ascii="仿宋_GB2312" w:hAnsi="仿宋_GB2312" w:cs="仿宋_GB2312" w:eastAsia="仿宋_GB2312"/>
              </w:rPr>
              <w:t>4.</w:t>
            </w:r>
            <w:r>
              <w:rPr>
                <w:rFonts w:ascii="仿宋_GB2312" w:hAnsi="仿宋_GB2312" w:cs="仿宋_GB2312" w:eastAsia="仿宋_GB2312"/>
              </w:rPr>
              <w:t>抛投挂点</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w:t>
            </w:r>
            <w:r>
              <w:rPr>
                <w:rFonts w:ascii="仿宋_GB2312" w:hAnsi="仿宋_GB2312" w:cs="仿宋_GB2312" w:eastAsia="仿宋_GB2312"/>
              </w:rPr>
              <w:t>抛投器尺寸（长</w:t>
            </w:r>
            <w:r>
              <w:rPr>
                <w:rFonts w:ascii="仿宋_GB2312" w:hAnsi="仿宋_GB2312" w:cs="仿宋_GB2312" w:eastAsia="仿宋_GB2312"/>
              </w:rPr>
              <w:t>*</w:t>
            </w:r>
            <w:r>
              <w:rPr>
                <w:rFonts w:ascii="仿宋_GB2312" w:hAnsi="仿宋_GB2312" w:cs="仿宋_GB2312" w:eastAsia="仿宋_GB2312"/>
              </w:rPr>
              <w:t>宽</w:t>
            </w:r>
            <w:r>
              <w:rPr>
                <w:rFonts w:ascii="仿宋_GB2312" w:hAnsi="仿宋_GB2312" w:cs="仿宋_GB2312" w:eastAsia="仿宋_GB2312"/>
              </w:rPr>
              <w:t>*</w:t>
            </w:r>
            <w:r>
              <w:rPr>
                <w:rFonts w:ascii="仿宋_GB2312" w:hAnsi="仿宋_GB2312" w:cs="仿宋_GB2312" w:eastAsia="仿宋_GB2312"/>
              </w:rPr>
              <w:t>高）：</w:t>
            </w:r>
            <w:r>
              <w:rPr>
                <w:rFonts w:ascii="仿宋_GB2312" w:hAnsi="仿宋_GB2312" w:cs="仿宋_GB2312" w:eastAsia="仿宋_GB2312"/>
              </w:rPr>
              <w:t>≤80</w:t>
            </w:r>
            <w:r>
              <w:rPr>
                <w:rFonts w:ascii="仿宋_GB2312" w:hAnsi="仿宋_GB2312" w:cs="仿宋_GB2312" w:eastAsia="仿宋_GB2312"/>
              </w:rPr>
              <w:t>mm</w:t>
            </w:r>
            <w:r>
              <w:rPr>
                <w:rFonts w:ascii="仿宋_GB2312" w:hAnsi="仿宋_GB2312" w:cs="仿宋_GB2312" w:eastAsia="仿宋_GB2312"/>
              </w:rPr>
              <w:t>*75</w:t>
            </w:r>
            <w:r>
              <w:rPr>
                <w:rFonts w:ascii="仿宋_GB2312" w:hAnsi="仿宋_GB2312" w:cs="仿宋_GB2312" w:eastAsia="仿宋_GB2312"/>
              </w:rPr>
              <w:t>mm</w:t>
            </w:r>
            <w:r>
              <w:rPr>
                <w:rFonts w:ascii="仿宋_GB2312" w:hAnsi="仿宋_GB2312" w:cs="仿宋_GB2312" w:eastAsia="仿宋_GB2312"/>
              </w:rPr>
              <w:t>*</w:t>
            </w:r>
            <w:r>
              <w:rPr>
                <w:rFonts w:ascii="仿宋_GB2312" w:hAnsi="仿宋_GB2312" w:cs="仿宋_GB2312" w:eastAsia="仿宋_GB2312"/>
              </w:rPr>
              <w:t>50mm</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最大空载飞行时间</w:t>
            </w:r>
            <w:r>
              <w:rPr>
                <w:rFonts w:ascii="仿宋_GB2312" w:hAnsi="仿宋_GB2312" w:cs="仿宋_GB2312" w:eastAsia="仿宋_GB2312"/>
              </w:rPr>
              <w:t>：</w:t>
            </w:r>
            <w:r>
              <w:rPr>
                <w:rFonts w:ascii="仿宋_GB2312" w:hAnsi="仿宋_GB2312" w:cs="仿宋_GB2312" w:eastAsia="仿宋_GB2312"/>
              </w:rPr>
              <w:t>≥40min</w:t>
            </w:r>
            <w:r>
              <w:rPr>
                <w:rFonts w:ascii="仿宋_GB2312" w:hAnsi="仿宋_GB2312" w:cs="仿宋_GB2312" w:eastAsia="仿宋_GB2312"/>
              </w:rPr>
              <w:t>，</w:t>
            </w:r>
            <w:r>
              <w:rPr>
                <w:rFonts w:ascii="仿宋_GB2312" w:hAnsi="仿宋_GB2312" w:cs="仿宋_GB2312" w:eastAsia="仿宋_GB2312"/>
              </w:rPr>
              <w:t>50kg载荷续航时间≥20min，75kg载荷续航时间≥15min</w:t>
            </w:r>
            <w:r>
              <w:rPr>
                <w:rFonts w:ascii="仿宋_GB2312" w:hAnsi="仿宋_GB2312" w:cs="仿宋_GB2312" w:eastAsia="仿宋_GB2312"/>
              </w:rPr>
              <w:t>。</w:t>
            </w:r>
            <w:r>
              <w:rPr>
                <w:rFonts w:ascii="仿宋_GB2312" w:hAnsi="仿宋_GB2312" w:cs="仿宋_GB2312" w:eastAsia="仿宋_GB2312"/>
                <w:color w:val="0000FF"/>
              </w:rPr>
              <w:t>（需提供第三方检测机构出具带</w:t>
            </w:r>
            <w:r>
              <w:rPr>
                <w:rFonts w:ascii="仿宋_GB2312" w:hAnsi="仿宋_GB2312" w:cs="仿宋_GB2312" w:eastAsia="仿宋_GB2312"/>
                <w:color w:val="0000FF"/>
              </w:rPr>
              <w:t>CMA或 CNAS 的检测报告佐证）</w:t>
            </w:r>
          </w:p>
          <w:p>
            <w:pPr>
              <w:pStyle w:val="null3"/>
            </w:pPr>
            <w:r>
              <w:rPr>
                <w:rFonts w:ascii="仿宋_GB2312" w:hAnsi="仿宋_GB2312" w:cs="仿宋_GB2312" w:eastAsia="仿宋_GB2312"/>
              </w:rPr>
              <w:t>6.</w:t>
            </w:r>
            <w:r>
              <w:rPr>
                <w:rFonts w:ascii="仿宋_GB2312" w:hAnsi="仿宋_GB2312" w:cs="仿宋_GB2312" w:eastAsia="仿宋_GB2312"/>
              </w:rPr>
              <w:t>遥控器控制距离</w:t>
            </w:r>
            <w:r>
              <w:rPr>
                <w:rFonts w:ascii="仿宋_GB2312" w:hAnsi="仿宋_GB2312" w:cs="仿宋_GB2312" w:eastAsia="仿宋_GB2312"/>
              </w:rPr>
              <w:t>：</w:t>
            </w:r>
            <w:r>
              <w:rPr>
                <w:rFonts w:ascii="仿宋_GB2312" w:hAnsi="仿宋_GB2312" w:cs="仿宋_GB2312" w:eastAsia="仿宋_GB2312"/>
              </w:rPr>
              <w:t>≥2km</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RTK</w:t>
            </w:r>
            <w:r>
              <w:rPr>
                <w:rFonts w:ascii="仿宋_GB2312" w:hAnsi="仿宋_GB2312" w:cs="仿宋_GB2312" w:eastAsia="仿宋_GB2312"/>
              </w:rPr>
              <w:t>和卫星组合导航：</w:t>
            </w:r>
            <w:r>
              <w:rPr>
                <w:rFonts w:ascii="仿宋_GB2312" w:hAnsi="仿宋_GB2312" w:cs="仿宋_GB2312" w:eastAsia="仿宋_GB2312"/>
              </w:rPr>
              <w:t>RTK模式双天线定向+备用卫</w:t>
            </w:r>
            <w:r>
              <w:rPr>
                <w:rFonts w:ascii="仿宋_GB2312" w:hAnsi="仿宋_GB2312" w:cs="仿宋_GB2312" w:eastAsia="仿宋_GB2312"/>
              </w:rPr>
              <w:t>星</w:t>
            </w:r>
            <w:r>
              <w:rPr>
                <w:rFonts w:ascii="仿宋_GB2312" w:hAnsi="仿宋_GB2312" w:cs="仿宋_GB2312" w:eastAsia="仿宋_GB2312"/>
              </w:rPr>
              <w:t>导航定位系统，</w:t>
            </w:r>
            <w:r>
              <w:rPr>
                <w:rFonts w:ascii="仿宋_GB2312" w:hAnsi="仿宋_GB2312" w:cs="仿宋_GB2312" w:eastAsia="仿宋_GB2312"/>
              </w:rPr>
              <w:t>悬停误差</w:t>
            </w:r>
            <w:r>
              <w:rPr>
                <w:rFonts w:ascii="仿宋_GB2312" w:hAnsi="仿宋_GB2312" w:cs="仿宋_GB2312" w:eastAsia="仿宋_GB2312"/>
              </w:rPr>
              <w:t>：</w:t>
            </w:r>
            <w:r>
              <w:rPr>
                <w:rFonts w:ascii="仿宋_GB2312" w:hAnsi="仿宋_GB2312" w:cs="仿宋_GB2312" w:eastAsia="仿宋_GB2312"/>
              </w:rPr>
              <w:t>≤0.5m</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最大飞行高度：</w:t>
            </w:r>
            <w:r>
              <w:rPr>
                <w:rFonts w:ascii="仿宋_GB2312" w:hAnsi="仿宋_GB2312" w:cs="仿宋_GB2312" w:eastAsia="仿宋_GB2312"/>
              </w:rPr>
              <w:t>≥500m</w:t>
            </w:r>
            <w:r>
              <w:rPr>
                <w:rFonts w:ascii="仿宋_GB2312" w:hAnsi="仿宋_GB2312" w:cs="仿宋_GB2312" w:eastAsia="仿宋_GB2312"/>
              </w:rPr>
              <w:t>。</w:t>
            </w:r>
          </w:p>
          <w:p>
            <w:pPr>
              <w:pStyle w:val="null3"/>
            </w:pPr>
            <w:r>
              <w:rPr>
                <w:rFonts w:ascii="仿宋_GB2312" w:hAnsi="仿宋_GB2312" w:cs="仿宋_GB2312" w:eastAsia="仿宋_GB2312"/>
              </w:rPr>
              <w:t>9.</w:t>
            </w:r>
            <w:r>
              <w:rPr>
                <w:rFonts w:ascii="仿宋_GB2312" w:hAnsi="仿宋_GB2312" w:cs="仿宋_GB2312" w:eastAsia="仿宋_GB2312"/>
              </w:rPr>
              <w:t>最大作业海拔：</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000m</w:t>
            </w:r>
            <w:r>
              <w:rPr>
                <w:rFonts w:ascii="仿宋_GB2312" w:hAnsi="仿宋_GB2312" w:cs="仿宋_GB2312" w:eastAsia="仿宋_GB2312"/>
              </w:rPr>
              <w:t>。</w:t>
            </w:r>
          </w:p>
          <w:p>
            <w:pPr>
              <w:pStyle w:val="null3"/>
            </w:pPr>
            <w:r>
              <w:rPr>
                <w:rFonts w:ascii="仿宋_GB2312" w:hAnsi="仿宋_GB2312" w:cs="仿宋_GB2312" w:eastAsia="仿宋_GB2312"/>
              </w:rPr>
              <w:t>10.</w:t>
            </w:r>
            <w:r>
              <w:rPr>
                <w:rFonts w:ascii="仿宋_GB2312" w:hAnsi="仿宋_GB2312" w:cs="仿宋_GB2312" w:eastAsia="仿宋_GB2312"/>
              </w:rPr>
              <w:t>抗风等级</w:t>
            </w:r>
            <w:r>
              <w:rPr>
                <w:rFonts w:ascii="仿宋_GB2312" w:hAnsi="仿宋_GB2312" w:cs="仿宋_GB2312" w:eastAsia="仿宋_GB2312"/>
              </w:rPr>
              <w:t>：</w:t>
            </w:r>
            <w:r>
              <w:rPr>
                <w:rFonts w:ascii="仿宋_GB2312" w:hAnsi="仿宋_GB2312" w:cs="仿宋_GB2312" w:eastAsia="仿宋_GB2312"/>
              </w:rPr>
              <w:t>≥6级</w:t>
            </w:r>
            <w:r>
              <w:rPr>
                <w:rFonts w:ascii="仿宋_GB2312" w:hAnsi="仿宋_GB2312" w:cs="仿宋_GB2312" w:eastAsia="仿宋_GB2312"/>
              </w:rPr>
              <w:t>，</w:t>
            </w:r>
            <w:r>
              <w:rPr>
                <w:rFonts w:ascii="仿宋_GB2312" w:hAnsi="仿宋_GB2312" w:cs="仿宋_GB2312" w:eastAsia="仿宋_GB2312"/>
              </w:rPr>
              <w:t>防雨防尘级别</w:t>
            </w:r>
            <w:r>
              <w:rPr>
                <w:rFonts w:ascii="仿宋_GB2312" w:hAnsi="仿宋_GB2312" w:cs="仿宋_GB2312" w:eastAsia="仿宋_GB2312"/>
              </w:rPr>
              <w:t>≥IP</w:t>
            </w:r>
            <w:r>
              <w:rPr>
                <w:rFonts w:ascii="仿宋_GB2312" w:hAnsi="仿宋_GB2312" w:cs="仿宋_GB2312" w:eastAsia="仿宋_GB2312"/>
              </w:rPr>
              <w:t>43</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最大载重</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75KG，</w:t>
            </w:r>
            <w:r>
              <w:rPr>
                <w:rFonts w:ascii="仿宋_GB2312" w:hAnsi="仿宋_GB2312" w:cs="仿宋_GB2312" w:eastAsia="仿宋_GB2312"/>
              </w:rPr>
              <w:t>标准载重</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50</w:t>
            </w:r>
            <w:r>
              <w:rPr>
                <w:rFonts w:ascii="仿宋_GB2312" w:hAnsi="仿宋_GB2312" w:cs="仿宋_GB2312" w:eastAsia="仿宋_GB2312"/>
              </w:rPr>
              <w:t>KG</w:t>
            </w:r>
            <w:r>
              <w:rPr>
                <w:rFonts w:ascii="仿宋_GB2312" w:hAnsi="仿宋_GB2312" w:cs="仿宋_GB2312" w:eastAsia="仿宋_GB2312"/>
              </w:rPr>
              <w:t>。</w:t>
            </w:r>
            <w:r>
              <w:rPr>
                <w:rFonts w:ascii="仿宋_GB2312" w:hAnsi="仿宋_GB2312" w:cs="仿宋_GB2312" w:eastAsia="仿宋_GB2312"/>
                <w:color w:val="0000FF"/>
              </w:rPr>
              <w:t>（需提供第三方检测机构出具带</w:t>
            </w:r>
            <w:r>
              <w:rPr>
                <w:rFonts w:ascii="仿宋_GB2312" w:hAnsi="仿宋_GB2312" w:cs="仿宋_GB2312" w:eastAsia="仿宋_GB2312"/>
                <w:color w:val="0000FF"/>
              </w:rPr>
              <w:t>CMA或 CNAS 的检测报告佐证）</w:t>
            </w:r>
          </w:p>
          <w:p>
            <w:pPr>
              <w:pStyle w:val="null3"/>
            </w:pPr>
            <w:r>
              <w:rPr>
                <w:rFonts w:ascii="仿宋_GB2312" w:hAnsi="仿宋_GB2312" w:cs="仿宋_GB2312" w:eastAsia="仿宋_GB2312"/>
              </w:rPr>
              <w:t>12.</w:t>
            </w:r>
            <w:r>
              <w:rPr>
                <w:rFonts w:ascii="仿宋_GB2312" w:hAnsi="仿宋_GB2312" w:cs="仿宋_GB2312" w:eastAsia="仿宋_GB2312"/>
              </w:rPr>
              <w:t>遥控地面站：国产操作系统，</w:t>
            </w:r>
            <w:r>
              <w:rPr>
                <w:rFonts w:ascii="仿宋_GB2312" w:hAnsi="仿宋_GB2312" w:cs="仿宋_GB2312" w:eastAsia="仿宋_GB2312"/>
              </w:rPr>
              <w:t>≥</w:t>
            </w:r>
            <w:r>
              <w:rPr>
                <w:rFonts w:ascii="仿宋_GB2312" w:hAnsi="仿宋_GB2312" w:cs="仿宋_GB2312" w:eastAsia="仿宋_GB2312"/>
              </w:rPr>
              <w:t>4G内存，</w:t>
            </w:r>
            <w:r>
              <w:rPr>
                <w:rFonts w:ascii="仿宋_GB2312" w:hAnsi="仿宋_GB2312" w:cs="仿宋_GB2312" w:eastAsia="仿宋_GB2312"/>
              </w:rPr>
              <w:t>≥</w:t>
            </w:r>
            <w:r>
              <w:rPr>
                <w:rFonts w:ascii="仿宋_GB2312" w:hAnsi="仿宋_GB2312" w:cs="仿宋_GB2312" w:eastAsia="仿宋_GB2312"/>
              </w:rPr>
              <w:t>64G固态硬盘，屏幕≥7英寸，分辨率≥1920*1080，亮度≥800cd/㎡（阳光下可视)，续航≥6小时，防护</w:t>
            </w:r>
            <w:r>
              <w:rPr>
                <w:rFonts w:ascii="仿宋_GB2312" w:hAnsi="仿宋_GB2312" w:cs="仿宋_GB2312" w:eastAsia="仿宋_GB2312"/>
              </w:rPr>
              <w:t>≥</w:t>
            </w:r>
            <w:r>
              <w:rPr>
                <w:rFonts w:ascii="仿宋_GB2312" w:hAnsi="仿宋_GB2312" w:cs="仿宋_GB2312" w:eastAsia="仿宋_GB2312"/>
              </w:rPr>
              <w:t>IP56，工作温度-20°—55°。</w:t>
            </w:r>
          </w:p>
          <w:p>
            <w:pPr>
              <w:pStyle w:val="null3"/>
            </w:pPr>
            <w:r>
              <w:rPr>
                <w:rFonts w:ascii="仿宋_GB2312" w:hAnsi="仿宋_GB2312" w:cs="仿宋_GB2312" w:eastAsia="仿宋_GB2312"/>
              </w:rPr>
              <w:t>13.</w:t>
            </w:r>
            <w:r>
              <w:rPr>
                <w:rFonts w:ascii="仿宋_GB2312" w:hAnsi="仿宋_GB2312" w:cs="仿宋_GB2312" w:eastAsia="仿宋_GB2312"/>
              </w:rPr>
              <w:t>具备起飞前上电检测电池电量、遥控器链路、数据链路、导航定位系统、电子罗盘等内容，故障信息可在地面站显示。</w:t>
            </w:r>
          </w:p>
          <w:p>
            <w:pPr>
              <w:pStyle w:val="null3"/>
            </w:pPr>
            <w:r>
              <w:rPr>
                <w:rFonts w:ascii="仿宋_GB2312" w:hAnsi="仿宋_GB2312" w:cs="仿宋_GB2312" w:eastAsia="仿宋_GB2312"/>
              </w:rPr>
              <w:t>14.</w:t>
            </w:r>
            <w:r>
              <w:rPr>
                <w:rFonts w:ascii="仿宋_GB2312" w:hAnsi="仿宋_GB2312" w:cs="仿宋_GB2312" w:eastAsia="仿宋_GB2312"/>
              </w:rPr>
              <w:t>相机热成像组件：探测器类型：氧化钒非制冷红外焦平面探测器，红外分辨率</w:t>
            </w:r>
            <w:r>
              <w:rPr>
                <w:rFonts w:ascii="仿宋_GB2312" w:hAnsi="仿宋_GB2312" w:cs="仿宋_GB2312" w:eastAsia="仿宋_GB2312"/>
              </w:rPr>
              <w:t>≥640×512，像元间距≤12μm，工作波段≥8～14μm，噪声等效温差（NETD）≤50mK(@25°C,F#1.0），焦距≥18mm，视场角≥24°×8°，调色板≥白热/黑热/铁红/熔岩/彩虹/铁灰/红热/蓝红色（共8种伪彩色）。</w:t>
            </w:r>
          </w:p>
          <w:p>
            <w:pPr>
              <w:pStyle w:val="null3"/>
            </w:pPr>
            <w:r>
              <w:rPr>
                <w:rFonts w:ascii="仿宋_GB2312" w:hAnsi="仿宋_GB2312" w:cs="仿宋_GB2312" w:eastAsia="仿宋_GB2312"/>
              </w:rPr>
              <w:t>15.</w:t>
            </w:r>
            <w:r>
              <w:rPr>
                <w:rFonts w:ascii="仿宋_GB2312" w:hAnsi="仿宋_GB2312" w:cs="仿宋_GB2312" w:eastAsia="仿宋_GB2312"/>
              </w:rPr>
              <w:t>相机高清组件：传感器类型：高性能</w:t>
            </w:r>
            <w:r>
              <w:rPr>
                <w:rFonts w:ascii="仿宋_GB2312" w:hAnsi="仿宋_GB2312" w:cs="仿宋_GB2312" w:eastAsia="仿宋_GB2312"/>
              </w:rPr>
              <w:t>CMOS，像素≥200万，分辨率≥1920×1080，焦距≥4.8-158mm，光学变倍≥33倍，低照度：彩色≤0.001 Lux @(F1.5,AGC ON); 黑白≤0.0005 Lux @(F1.5,AGC ON），聚焦方式要求：手动/半自动。</w:t>
            </w:r>
          </w:p>
          <w:p>
            <w:pPr>
              <w:pStyle w:val="null3"/>
            </w:pPr>
            <w:r>
              <w:rPr>
                <w:rFonts w:ascii="仿宋_GB2312" w:hAnsi="仿宋_GB2312" w:cs="仿宋_GB2312" w:eastAsia="仿宋_GB2312"/>
              </w:rPr>
              <w:t>16.</w:t>
            </w:r>
            <w:r>
              <w:rPr>
                <w:rFonts w:ascii="仿宋_GB2312" w:hAnsi="仿宋_GB2312" w:cs="仿宋_GB2312" w:eastAsia="仿宋_GB2312"/>
              </w:rPr>
              <w:t>相机产品规格要求：工作温度：</w:t>
            </w:r>
            <w:r>
              <w:rPr>
                <w:rFonts w:ascii="仿宋_GB2312" w:hAnsi="仿宋_GB2312" w:cs="仿宋_GB2312" w:eastAsia="仿宋_GB2312"/>
              </w:rPr>
              <w:t>-20℃～+50℃，环境湿度：≤85%RH（非冷凝），电源供应：AC12V，设备尺寸：≤200mm(H)×150mm(W)×150mm(L），≤1.5kg。</w:t>
            </w:r>
          </w:p>
          <w:p>
            <w:pPr>
              <w:pStyle w:val="null3"/>
            </w:pPr>
            <w:r>
              <w:rPr>
                <w:rFonts w:ascii="仿宋_GB2312" w:hAnsi="仿宋_GB2312" w:cs="仿宋_GB2312" w:eastAsia="仿宋_GB2312"/>
              </w:rPr>
              <w:t>17.</w:t>
            </w:r>
            <w:r>
              <w:rPr>
                <w:rFonts w:ascii="仿宋_GB2312" w:hAnsi="仿宋_GB2312" w:cs="仿宋_GB2312" w:eastAsia="仿宋_GB2312"/>
              </w:rPr>
              <w:t>喊话器：声压</w:t>
            </w:r>
            <w:r>
              <w:rPr>
                <w:rFonts w:ascii="仿宋_GB2312" w:hAnsi="仿宋_GB2312" w:cs="仿宋_GB2312" w:eastAsia="仿宋_GB2312"/>
              </w:rPr>
              <w:t>10m≥120db，100m≥80db，传输距离≥1km。</w:t>
            </w:r>
          </w:p>
          <w:p>
            <w:pPr>
              <w:pStyle w:val="null3"/>
            </w:pPr>
            <w:r>
              <w:rPr>
                <w:rFonts w:ascii="仿宋_GB2312" w:hAnsi="仿宋_GB2312" w:cs="仿宋_GB2312" w:eastAsia="仿宋_GB2312"/>
              </w:rPr>
              <w:t>18.</w:t>
            </w:r>
            <w:r>
              <w:rPr>
                <w:rFonts w:ascii="仿宋_GB2312" w:hAnsi="仿宋_GB2312" w:cs="仿宋_GB2312" w:eastAsia="仿宋_GB2312"/>
              </w:rPr>
              <w:t>▲灭火罐：无人机搭载灭火剂罐充装容积≥30L，最大充装压力≥2.5Mpa，有效喷射射程≥10m。</w:t>
            </w:r>
            <w:r>
              <w:rPr>
                <w:rFonts w:ascii="仿宋_GB2312" w:hAnsi="仿宋_GB2312" w:cs="仿宋_GB2312" w:eastAsia="仿宋_GB2312"/>
                <w:color w:val="0000FF"/>
              </w:rPr>
              <w:t>（需提供第三方检测机构出具带</w:t>
            </w:r>
            <w:r>
              <w:rPr>
                <w:rFonts w:ascii="仿宋_GB2312" w:hAnsi="仿宋_GB2312" w:cs="仿宋_GB2312" w:eastAsia="仿宋_GB2312"/>
                <w:color w:val="0000FF"/>
              </w:rPr>
              <w:t xml:space="preserve">CMA或 CNAS </w:t>
            </w:r>
            <w:r>
              <w:rPr>
                <w:rFonts w:ascii="仿宋_GB2312" w:hAnsi="仿宋_GB2312" w:cs="仿宋_GB2312" w:eastAsia="仿宋_GB2312"/>
                <w:color w:val="0000FF"/>
              </w:rPr>
              <w:t>的检测报告佐证）</w:t>
            </w:r>
          </w:p>
          <w:p>
            <w:pPr>
              <w:pStyle w:val="null3"/>
            </w:pPr>
            <w:r>
              <w:rPr>
                <w:rFonts w:ascii="仿宋_GB2312" w:hAnsi="仿宋_GB2312" w:cs="仿宋_GB2312" w:eastAsia="仿宋_GB2312"/>
              </w:rPr>
              <w:t>19.</w:t>
            </w:r>
            <w:r>
              <w:rPr>
                <w:rFonts w:ascii="仿宋_GB2312" w:hAnsi="仿宋_GB2312" w:cs="仿宋_GB2312" w:eastAsia="仿宋_GB2312"/>
              </w:rPr>
              <w:t>灭火弹：无人机搭载抛投灭火救援置，挂载灭火弹充装容积</w:t>
            </w:r>
            <w:r>
              <w:rPr>
                <w:rFonts w:ascii="仿宋_GB2312" w:hAnsi="仿宋_GB2312" w:cs="仿宋_GB2312" w:eastAsia="仿宋_GB2312"/>
              </w:rPr>
              <w:t>≥25L进行向下抛投，10m高度释放后的有效覆盖半径≥10m，支持延时引爆。</w:t>
            </w:r>
          </w:p>
          <w:p>
            <w:pPr>
              <w:pStyle w:val="null3"/>
            </w:pPr>
            <w:r>
              <w:rPr>
                <w:rFonts w:ascii="仿宋_GB2312" w:hAnsi="仿宋_GB2312" w:cs="仿宋_GB2312" w:eastAsia="仿宋_GB2312"/>
              </w:rPr>
              <w:t>20.</w:t>
            </w:r>
            <w:r>
              <w:rPr>
                <w:rFonts w:ascii="仿宋_GB2312" w:hAnsi="仿宋_GB2312" w:cs="仿宋_GB2312" w:eastAsia="仿宋_GB2312"/>
              </w:rPr>
              <w:t>▲系留水带灭火装置：无人机系留无人机专用消防救援水带（工作压力：≥1Mpa，口径：≥40mm）进行系留式灭火救援作业，喷杆长≥2米，喷口直径≥18mm，配合压缩空气泡沫系统,标准喷射流量≥1500/min(泡沫混合液流量≥180L/min)，系留高度≥100m，喷射距离≥15m，具备水带应急脱落保护功能，紧急状态下可远程遥控分离水带。</w:t>
            </w:r>
            <w:r>
              <w:rPr>
                <w:rFonts w:ascii="仿宋_GB2312" w:hAnsi="仿宋_GB2312" w:cs="仿宋_GB2312" w:eastAsia="仿宋_GB2312"/>
                <w:color w:val="0000FF"/>
              </w:rPr>
              <w:t>（需提供第三方检测机构出具带</w:t>
            </w:r>
            <w:r>
              <w:rPr>
                <w:rFonts w:ascii="仿宋_GB2312" w:hAnsi="仿宋_GB2312" w:cs="仿宋_GB2312" w:eastAsia="仿宋_GB2312"/>
                <w:color w:val="0000FF"/>
              </w:rPr>
              <w:t>CMA或 CNAS 的检测报告佐</w:t>
            </w:r>
            <w:r>
              <w:rPr>
                <w:rFonts w:ascii="仿宋_GB2312" w:hAnsi="仿宋_GB2312" w:cs="仿宋_GB2312" w:eastAsia="仿宋_GB2312"/>
                <w:color w:val="0000FF"/>
              </w:rPr>
              <w:t>证）</w:t>
            </w:r>
          </w:p>
          <w:p>
            <w:pPr>
              <w:pStyle w:val="null3"/>
            </w:pP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破窗发射器：</w:t>
            </w:r>
            <w:r>
              <w:rPr>
                <w:rFonts w:ascii="仿宋_GB2312" w:hAnsi="仿宋_GB2312" w:cs="仿宋_GB2312" w:eastAsia="仿宋_GB2312"/>
              </w:rPr>
              <w:t>10米处，破≥12mm+6a+12mm双层中空钢化玻璃，破窗器有机械和电子安全防护能力，破窗弹尺寸（直径*长）≤11.5mm*43mm。</w:t>
            </w:r>
          </w:p>
          <w:p>
            <w:pPr>
              <w:pStyle w:val="null3"/>
            </w:pPr>
            <w:r>
              <w:rPr>
                <w:rFonts w:ascii="仿宋_GB2312" w:hAnsi="仿宋_GB2312" w:cs="仿宋_GB2312" w:eastAsia="仿宋_GB2312"/>
              </w:rPr>
              <w:t>22.★配置清单：无人机1台，地面站1个、电池2组（每组4块）、云台相机1个、喊话器1个、喷杆2套、水带2卷(60m/卷）、抛投装置1套、灭火罐4个、灭火弹（30L）15个、备用桨叶1对、维保工具1套。</w:t>
            </w:r>
          </w:p>
          <w:p>
            <w:pPr>
              <w:pStyle w:val="null3"/>
            </w:pPr>
            <w:r>
              <w:rPr>
                <w:rFonts w:ascii="仿宋_GB2312" w:hAnsi="仿宋_GB2312" w:cs="仿宋_GB2312" w:eastAsia="仿宋_GB2312"/>
              </w:rPr>
              <w:t>23.无人机驾驶人员培训取证，每架/2人。</w:t>
            </w:r>
          </w:p>
          <w:p>
            <w:pPr>
              <w:pStyle w:val="null3"/>
            </w:pPr>
            <w:r>
              <w:rPr>
                <w:rFonts w:ascii="仿宋_GB2312" w:hAnsi="仿宋_GB2312" w:cs="仿宋_GB2312" w:eastAsia="仿宋_GB2312"/>
                <w:color w:val="0000FF"/>
              </w:rPr>
              <w:t>24.</w:t>
            </w:r>
            <w:r>
              <w:rPr>
                <w:rFonts w:ascii="仿宋_GB2312" w:hAnsi="仿宋_GB2312" w:cs="仿宋_GB2312" w:eastAsia="仿宋_GB2312"/>
              </w:rPr>
              <w:t>★</w:t>
            </w:r>
            <w:r>
              <w:rPr>
                <w:rFonts w:ascii="仿宋_GB2312" w:hAnsi="仿宋_GB2312" w:cs="仿宋_GB2312" w:eastAsia="仿宋_GB2312"/>
                <w:color w:val="0000FF"/>
              </w:rPr>
              <w:t>购买</w:t>
            </w:r>
            <w:r>
              <w:rPr>
                <w:rFonts w:ascii="仿宋_GB2312" w:hAnsi="仿宋_GB2312" w:cs="仿宋_GB2312" w:eastAsia="仿宋_GB2312"/>
                <w:color w:val="0000FF"/>
              </w:rPr>
              <w:t>1年机身保险及三者险（保额≥100万）（从设备激活之日起算，提供承诺函）。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标的名称：无人机专用运输车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无人机运输车辆采购配置清单（</w:t>
            </w:r>
            <w:r>
              <w:rPr>
                <w:rFonts w:ascii="仿宋_GB2312" w:hAnsi="仿宋_GB2312" w:cs="仿宋_GB2312" w:eastAsia="仿宋_GB2312"/>
              </w:rPr>
              <w:t>2辆）</w:t>
            </w:r>
          </w:p>
          <w:p>
            <w:pPr>
              <w:pStyle w:val="null3"/>
            </w:pPr>
            <w:r>
              <w:rPr>
                <w:rFonts w:ascii="仿宋_GB2312" w:hAnsi="仿宋_GB2312" w:cs="仿宋_GB2312" w:eastAsia="仿宋_GB2312"/>
              </w:rPr>
              <w:t>1.★配置装载灭火无人机的皮卡改装车。</w:t>
            </w:r>
          </w:p>
          <w:p>
            <w:pPr>
              <w:pStyle w:val="null3"/>
            </w:pPr>
            <w:r>
              <w:rPr>
                <w:rFonts w:ascii="仿宋_GB2312" w:hAnsi="仿宋_GB2312" w:cs="仿宋_GB2312" w:eastAsia="仿宋_GB2312"/>
              </w:rPr>
              <w:t>2.▲底盘：皮卡底盘，发动机功率：≥140kw，扭矩：≥350Nm。</w:t>
            </w:r>
          </w:p>
          <w:p>
            <w:pPr>
              <w:pStyle w:val="null3"/>
            </w:pPr>
            <w:r>
              <w:rPr>
                <w:rFonts w:ascii="仿宋_GB2312" w:hAnsi="仿宋_GB2312" w:cs="仿宋_GB2312" w:eastAsia="仿宋_GB2312"/>
              </w:rPr>
              <w:t>3.变速箱：自动挡，驱动形式：四驱，环保标准：国VI，载人数：≥2。</w:t>
            </w:r>
          </w:p>
          <w:p>
            <w:pPr>
              <w:pStyle w:val="null3"/>
            </w:pPr>
            <w:r>
              <w:rPr>
                <w:rFonts w:ascii="仿宋_GB2312" w:hAnsi="仿宋_GB2312" w:cs="仿宋_GB2312" w:eastAsia="仿宋_GB2312"/>
              </w:rPr>
              <w:t>4.车辆尺寸(长x宽x高)：≤6000mmx2100mmx2500mm，轴距：≥3400 mm，总质量（kg）: ≥3200。</w:t>
            </w:r>
          </w:p>
          <w:p>
            <w:pPr>
              <w:pStyle w:val="null3"/>
            </w:pPr>
            <w:r>
              <w:rPr>
                <w:rFonts w:ascii="仿宋_GB2312" w:hAnsi="仿宋_GB2312" w:cs="仿宋_GB2312" w:eastAsia="仿宋_GB2312"/>
              </w:rPr>
              <w:t>5.蓄电池：独立加装容量≥100AH的铅酸蓄电池。</w:t>
            </w:r>
          </w:p>
          <w:p>
            <w:pPr>
              <w:pStyle w:val="null3"/>
            </w:pPr>
            <w:r>
              <w:rPr>
                <w:rFonts w:ascii="仿宋_GB2312" w:hAnsi="仿宋_GB2312" w:cs="仿宋_GB2312" w:eastAsia="仿宋_GB2312"/>
              </w:rPr>
              <w:t>6.倒车影像：独立加装360全车影像1套，采用原车彩色显示屏，实现影像显示、存储及回放。</w:t>
            </w:r>
          </w:p>
          <w:p>
            <w:pPr>
              <w:pStyle w:val="null3"/>
            </w:pPr>
            <w:r>
              <w:rPr>
                <w:rFonts w:ascii="仿宋_GB2312" w:hAnsi="仿宋_GB2312" w:cs="仿宋_GB2312" w:eastAsia="仿宋_GB2312"/>
              </w:rPr>
              <w:t>7.车顶升降照明：照明灯功率≥200W×2，升降高度≥2.5m。</w:t>
            </w:r>
          </w:p>
          <w:p>
            <w:pPr>
              <w:pStyle w:val="null3"/>
            </w:pPr>
            <w:r>
              <w:rPr>
                <w:rFonts w:ascii="仿宋_GB2312" w:hAnsi="仿宋_GB2312" w:cs="仿宋_GB2312" w:eastAsia="仿宋_GB2312"/>
              </w:rPr>
              <w:t>8.车载云台：可360°旋转和俯仰控制，支持遥控和线控。</w:t>
            </w:r>
          </w:p>
          <w:p>
            <w:pPr>
              <w:pStyle w:val="null3"/>
            </w:pPr>
            <w:r>
              <w:rPr>
                <w:rFonts w:ascii="仿宋_GB2312" w:hAnsi="仿宋_GB2312" w:cs="仿宋_GB2312" w:eastAsia="仿宋_GB2312"/>
              </w:rPr>
              <w:t>9.具备车载警报喊话系统，电动倒伏天线，车辆5G远程车联网能力。</w:t>
            </w:r>
          </w:p>
          <w:p>
            <w:pPr>
              <w:pStyle w:val="null3"/>
            </w:pPr>
            <w:r>
              <w:rPr>
                <w:rFonts w:ascii="仿宋_GB2312" w:hAnsi="仿宋_GB2312" w:cs="仿宋_GB2312" w:eastAsia="仿宋_GB2312"/>
              </w:rPr>
              <w:t>10.▲上装箱体轻量化设计，车厢采用PP高分子板材制作，由副车架连接底盘和PP车厢，隔舱同厢体采用PP板材一体焊接成型。</w:t>
            </w:r>
          </w:p>
          <w:p>
            <w:pPr>
              <w:pStyle w:val="null3"/>
            </w:pPr>
            <w:r>
              <w:rPr>
                <w:rFonts w:ascii="仿宋_GB2312" w:hAnsi="仿宋_GB2312" w:cs="仿宋_GB2312" w:eastAsia="仿宋_GB2312"/>
              </w:rPr>
              <w:t>11.PP板材性能：耐高温性能（≥80℃/5h）、耐热老化（≥80℃/400h）、耐低温性能（≥-35℃/24h）、拉伸强度（≥18Mpa）、弯曲强度（≥18Mpa）、断裂伸长率（≥80%）。</w:t>
            </w:r>
          </w:p>
          <w:p>
            <w:pPr>
              <w:pStyle w:val="null3"/>
            </w:pPr>
            <w:r>
              <w:rPr>
                <w:rFonts w:ascii="仿宋_GB2312" w:hAnsi="仿宋_GB2312" w:cs="仿宋_GB2312" w:eastAsia="仿宋_GB2312"/>
              </w:rPr>
              <w:t>12.▲皮卡装备车同时装置物资需求：无人机装载数量≥1架（无人机对角轴距：≥2000mm），灭火罐携带数量≥4罐灭火罐（灭火罐容积≥30L），电池数量≥2组（每组4块，每块容量≥30AH），灭火弹数量≥2罐（灭火弹充装容积≥25L），水带数量≥2盘（口径：≥40mm，长：60米）。</w:t>
            </w:r>
          </w:p>
          <w:p>
            <w:pPr>
              <w:pStyle w:val="null3"/>
            </w:pPr>
            <w:r>
              <w:rPr>
                <w:rFonts w:ascii="仿宋_GB2312" w:hAnsi="仿宋_GB2312" w:cs="仿宋_GB2312" w:eastAsia="仿宋_GB2312"/>
              </w:rPr>
              <w:t>13.▲外观按标准要求，结合招标人具体要求进行喷涂，油漆依据GB/T 9266等检测标准检测耐洗刷性（1500次）洗刷后DOI下降不大于3，耐湿热性（240h）达到1级，耐人工气候老化试验（2000h）失光率小于等于5，色差小于等于1.5，VOC含量均合格。</w:t>
            </w:r>
            <w:r>
              <w:rPr>
                <w:rFonts w:ascii="仿宋_GB2312" w:hAnsi="仿宋_GB2312" w:cs="仿宋_GB2312" w:eastAsia="仿宋_GB2312"/>
                <w:color w:val="0000FF"/>
              </w:rPr>
              <w:t>（提供油漆的第三方机构出具的检测报告扫描件）</w:t>
            </w:r>
            <w:r>
              <w:rPr>
                <w:rFonts w:ascii="仿宋_GB2312" w:hAnsi="仿宋_GB2312" w:cs="仿宋_GB2312" w:eastAsia="仿宋_GB2312"/>
              </w:rPr>
              <w:t>。</w:t>
            </w:r>
          </w:p>
          <w:p>
            <w:pPr>
              <w:pStyle w:val="null3"/>
              <w:ind w:firstLine="200"/>
              <w:jc w:val="both"/>
            </w:pPr>
            <w:r>
              <w:rPr>
                <w:rFonts w:ascii="仿宋_GB2312" w:hAnsi="仿宋_GB2312" w:cs="仿宋_GB2312" w:eastAsia="仿宋_GB2312"/>
                <w:sz w:val="21"/>
              </w:rPr>
              <w:t>14.★</w:t>
            </w:r>
            <w:r>
              <w:rPr>
                <w:rFonts w:ascii="仿宋_GB2312" w:hAnsi="仿宋_GB2312" w:cs="仿宋_GB2312" w:eastAsia="仿宋_GB2312"/>
                <w:sz w:val="21"/>
                <w:color w:val="0000FF"/>
              </w:rPr>
              <w:t>负责车辆上牌，购买</w:t>
            </w:r>
            <w:r>
              <w:rPr>
                <w:rFonts w:ascii="仿宋_GB2312" w:hAnsi="仿宋_GB2312" w:cs="仿宋_GB2312" w:eastAsia="仿宋_GB2312"/>
                <w:sz w:val="21"/>
                <w:color w:val="0000FF"/>
              </w:rPr>
              <w:t>1年保险及三者险（保额≥50万）。（从验收合格之日起算，提供承诺函）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自合同签订之日起10个日历日完成项目全部内容，并交付采购人验收合格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自合同签订之日起40个日历日内完成项目全部内容，并交付采购人验收合格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到货后，项目使用方及中标供应商共同验收。在检查设备原产地、型号、规格、 配置符合合同要求后，由中标供应商负责调试、采购人负责技术验收（中标供应商协助），验收以国内行业标准或合同文本软件设备供货配置清单中描述的有关技术要求为准。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车辆到货后，项目使用方及中标供应商共同验收。在检查设备原产地、型号、规格、 配置符合合同要求后，由中标供应商负责调试、采购人负责技术验收（中标供应商协助），验收以国内行业标准或合同文本软件设备供货配置清单中描述的有关技术要求为准。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1.本项目合同包1专门面向中小企业；合同包2非专门面向中小企业，符合招标文件规定的小微企业、监狱企业、残疾人福利企业优惠条件的供应商，价格给予10%的扣除，用扣除后的投标报价参与评审； 2.本项目属性为货物。 3.本项目合同包1，合同包2采购标的所属行业为：工业； 4.本项目为固定总价合同。5、合同包1及合同包2技术参数若涉及品牌及型号均为同档次。6、合同包2为车辆落地价，合同总价为货物总价、货物运达指定地点的运杂费（含运输费、保险费）、安装调试费、检测验收费等至交付采购人使用的一切费用。7、带“★”的参数不允许负偏离，任何负偏离均视为重大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八、资格证明文件.docx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八、资格证明文件.docx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八、资格证明文件.docx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八、资格证明文件.docx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法定代表人（主要负责人）授权委托书及被授权人身份证明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供应商企业关联关系说明</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合同包1专门面向中小企业采购（提供中小企业声明函），非中小企业单位（监狱企业、残疾人福利单位除外）不得参与</w:t>
            </w:r>
          </w:p>
        </w:tc>
        <w:tc>
          <w:tcPr>
            <w:tcW w:type="dxa" w:w="1661"/>
          </w:tcPr>
          <w:p>
            <w:pPr>
              <w:pStyle w:val="null3"/>
            </w:pPr>
            <w:r>
              <w:rPr>
                <w:rFonts w:ascii="仿宋_GB2312" w:hAnsi="仿宋_GB2312" w:cs="仿宋_GB2312" w:eastAsia="仿宋_GB2312"/>
              </w:rPr>
              <w:t>八、资格证明文件.docx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法定代表人（主要负责人）授权委托书及被授权人身份证明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供应商企业关联关系说明</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八、资格证明文件.docx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八、资格证明文件.docx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二、开标一览表.docx 一、投标函.docx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二、开标一览表.docx 四、商务偏离表.docx 一、投标函.docx 三、分项报价表.docx 标的清单 投标文件封面 五、技术偏离表.docx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二、开标一览表.docx 七、承诺文件.docx 一、投标函.docx 中小企业声明函 三、分项报价表.docx 四、商务偏离表.docx 投标函 残疾人福利性单位声明函 标的清单 八、资格证明文件.docx 投标文件封面 五、技术偏离表.docx 六、项目实施方案.docx 九、其他资料.docx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只能有一个有效报价，不得提交选择性报价，且报价不超过采购预算、最高限价或者单价最高限价；</w:t>
            </w:r>
          </w:p>
        </w:tc>
        <w:tc>
          <w:tcPr>
            <w:tcW w:type="dxa" w:w="1661"/>
          </w:tcPr>
          <w:p>
            <w:pPr>
              <w:pStyle w:val="null3"/>
            </w:pPr>
            <w:r>
              <w:rPr>
                <w:rFonts w:ascii="仿宋_GB2312" w:hAnsi="仿宋_GB2312" w:cs="仿宋_GB2312" w:eastAsia="仿宋_GB2312"/>
              </w:rPr>
              <w:t>二、开标一览表.docx 投标函 一、投标函.docx 三、分项报价表.docx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四、商务偏离表.docx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投标文件是否出现重大负偏离的</w:t>
            </w:r>
          </w:p>
        </w:tc>
        <w:tc>
          <w:tcPr>
            <w:tcW w:type="dxa" w:w="3322"/>
          </w:tcPr>
          <w:p>
            <w:pPr>
              <w:pStyle w:val="null3"/>
            </w:pPr>
            <w:r>
              <w:rPr>
                <w:rFonts w:ascii="仿宋_GB2312" w:hAnsi="仿宋_GB2312" w:cs="仿宋_GB2312" w:eastAsia="仿宋_GB2312"/>
              </w:rPr>
              <w:t>投标文件未出现重大负偏离的</w:t>
            </w:r>
          </w:p>
        </w:tc>
        <w:tc>
          <w:tcPr>
            <w:tcW w:type="dxa" w:w="1661"/>
          </w:tcPr>
          <w:p>
            <w:pPr>
              <w:pStyle w:val="null3"/>
            </w:pPr>
            <w:r>
              <w:rPr>
                <w:rFonts w:ascii="仿宋_GB2312" w:hAnsi="仿宋_GB2312" w:cs="仿宋_GB2312" w:eastAsia="仿宋_GB2312"/>
              </w:rPr>
              <w:t>四、商务偏离表.docx 投标文件封面 五、技术偏离表.docx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二、开标一览表.docx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四、商务偏离表.docx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一、投标函.docx 八、资格证明文件.docx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二、开标一览表.docx 投标函 一、投标函.docx 三、分项报价表.docx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二、开标一览表.docx 四、商务偏离表.docx 一、投标函.docx 三、分项报价表.docx 投标文件封面 五、技术偏离表.docx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二、开标一览表.docx 七、承诺文件.docx 中小企业声明函 一、投标函.docx 三、分项报价表.docx 四、商务偏离表.docx 投标函 残疾人福利性单位声明函 标的清单 八、资格证明文件.docx 投标文件封面 六、项目实施方案.docx 五、技术偏离表.docx 九、其他资料.docx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只能有一个有效报价，不得提交选择性报价，且报价不超过采购预算、最高限价或者单价最高限价；</w:t>
            </w:r>
          </w:p>
        </w:tc>
        <w:tc>
          <w:tcPr>
            <w:tcW w:type="dxa" w:w="1661"/>
          </w:tcPr>
          <w:p>
            <w:pPr>
              <w:pStyle w:val="null3"/>
            </w:pPr>
            <w:r>
              <w:rPr>
                <w:rFonts w:ascii="仿宋_GB2312" w:hAnsi="仿宋_GB2312" w:cs="仿宋_GB2312" w:eastAsia="仿宋_GB2312"/>
              </w:rPr>
              <w:t>二、开标一览表.docx 投标函 一、投标函.docx 三、分项报价表.docx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四、商务偏离表.docx 六、项目实施方案.docx 五、技术偏离表.docx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投标文件是否出现重大负偏离的</w:t>
            </w:r>
          </w:p>
        </w:tc>
        <w:tc>
          <w:tcPr>
            <w:tcW w:type="dxa" w:w="3322"/>
          </w:tcPr>
          <w:p>
            <w:pPr>
              <w:pStyle w:val="null3"/>
            </w:pPr>
            <w:r>
              <w:rPr>
                <w:rFonts w:ascii="仿宋_GB2312" w:hAnsi="仿宋_GB2312" w:cs="仿宋_GB2312" w:eastAsia="仿宋_GB2312"/>
              </w:rPr>
              <w:t>投标文件未出现重大负偏离的</w:t>
            </w:r>
          </w:p>
        </w:tc>
        <w:tc>
          <w:tcPr>
            <w:tcW w:type="dxa" w:w="1661"/>
          </w:tcPr>
          <w:p>
            <w:pPr>
              <w:pStyle w:val="null3"/>
            </w:pPr>
            <w:r>
              <w:rPr>
                <w:rFonts w:ascii="仿宋_GB2312" w:hAnsi="仿宋_GB2312" w:cs="仿宋_GB2312" w:eastAsia="仿宋_GB2312"/>
              </w:rPr>
              <w:t>四、商务偏离表.docx 投标文件封面 五、技术偏离表.docx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二、开标一览表.docx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四、商务偏离表.docx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一、投标函.docx 八、资格证明文件.docx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投标人针对招标文件技术参数条款的响应得分规则如下： 【①以数字 “1”“2”“3”…为一条。得分四舍五入保留小数点后两位小数；②序号中未标注“★”和“▲”的条款，为一般技术参数条款；③序号中标注“▲”的条款，为重要技术参数条款；④序号中标注“★”的条款，为实质性指标，不满足该指标项将按无效投标处理；】 1、产品选型科学、合理、先进、方便操作，安全可靠并符合使用基本需求，产品品牌、型号、产地明确、技术参数明确，整体配置具有合理性、一致性、兼容性，配置齐全、功能满足文件要求，并提供相关证明材料，得基本分24分； 1、标注“▲”的条款每负偏离一项扣2分，扣完为止 2、未标注“★”和“▲”的条款每负偏离一项扣1分，扣完为止 注：“▲”技术参数条款若有明确要求的，则按要求提供证明材料，若未明确要求证明材料的则可提供检测报告或技术规格书或产品彩页进行佐证。一般技术参数条款可提供参数应答响应或其他参数证明，未提供或提供的证明材料不符合招标文件要求的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五、技术偏离表.docx</w:t>
            </w:r>
          </w:p>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及质量保障措施等。方案内容完全响应招标文件要求的得15分；方案中每有一项内容缺失扣5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根据投标人针对本项目的技术培训方案进行评分，方案内容至少包括①培训内容；②培训方式；③培训计划；④培训团队配备等。 内容无缺陷的得16分，每缺少一项内容或内容存在缺陷一项扣4分，扣完为止。 注：存在缺陷是指该项内容描述前后不一致或该项内容所阐述的项目信息与本项目实际信息不一致或该项内容引用的规定、规范错误或该项内容描述不符合国家相关法律法规、规范要求或该项内容阐述的方式方法明显不符合本项目实际情况或该项内容描述的内容与本项目实际情况不符或套用其他项目内容。</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根据投标人针对本项目的售后服务方案进行评分，方案内容至少包括①服务承诺及响应时间；②备件（易耗品）供应方案；③服务人员配备及应急措施；④质保外服务措施等售后服务。 内容无缺陷的得12分，每缺少一项内容或内容存在缺陷一项扣3分，扣完为止。 注：存在缺陷是指该项内容描述前后不一致或该项内容所阐述的项目信息与本项目实际信息不一致或该项内容引用的规定、规范错误或该项内容描述不符合国家相关法律法规、规范要求或该项内容阐述的方式方法明显不符合本项目实际情况或该项内容描述的内容与本项目实际情况不符或套用其他项目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p>
            <w:pPr>
              <w:pStyle w:val="null3"/>
            </w:pPr>
            <w:r>
              <w:rPr>
                <w:rFonts w:ascii="仿宋_GB2312" w:hAnsi="仿宋_GB2312" w:cs="仿宋_GB2312" w:eastAsia="仿宋_GB2312"/>
              </w:rPr>
              <w:t>七、承诺文件.docx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供应商2022年01月01日至今类似项目业绩，每提供1份得1分，最高得3分； 业绩证明（以合同（协议）为准，须在投标文件中附合同（协议）或复印件加盖单位公章，弄虚作假者，取消其中标资格。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九、其他资料.docx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投标人针对招标文件技术参数条款的响应得分规则如下： 【①以数字 “1”“2”“3”…为一条。得分四舍五入保留小数点后两位小数；②序号中未标注“★”和“▲”的条款，为一般技术参数条款；③序号中标注“▲”的条款，为重要技术参数条款；④序号中标注“★”的条款，为实质性指标，不满足该指标项将按无效投标处理；】 1、投标车辆的规格型号、技术指标、配置等描述完整、详细。设备的彩页（如有）、相应的功能证明材料（包括但不限于测试报告、官网和功能截图等）等进行赋分。 投标车辆的参数等完全满足或优于采购要求、证明文件齐全完整、详尽得20分； 1、标注“▲”的条款每负偏离一项扣2分，扣完为止 2、未标注“★”和“▲”的条款每负偏离一项扣1分，扣完为止 注：“▲”技术参数条款若有明确要求的，则按要求提供证明材料，若未明确要求证明材料的则可提供检测报告或技术规格书或产品彩页进行佐证。一般技术参数条款可提供参数应答响应或其他参数证明，未提供或提供的证明材料不符合招标文件要求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五、技术偏离表.docx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车辆的质量保障措施，确保生产供应的设备无假货、水货、翻新货且无产权纠纷，并符合国际、国内相关标准或行业标准，提供来源渠道合法的证明文件（包括但不限于销售协议、代理协议、原厂授权等），根据响应程度进行赋分。 投标车辆质量措施完整、详尽，证明文件齐全，得7-10分； 投标车辆质量措施、证明文件基本完善，得4-7分（含7分）； 投标车辆质量措施不够完善、证明文件不全，得0-4分（含4分）。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供应商提供的关键零部件及备品备件等配备情况充足、供应渠道充分、总体响应性高，可行性及针对性强得4-6分； 备品备件较充足，总体响应较强，具有一定可行性得2-4分（含4分）； 备品备件配备较少，响应较差，可行性低得0-2分（含2分）。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总体实施方案完备、合理、切实可行，得7-10分；总体实施方案较完备、合理、基本可行，得3-7分（含7分）； 总体实施方案较差或未提供，得0-3分（含3分）。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处理方案详细可行，针对性强得6-8分； 处理方案相对完整，具有一定的针对性得3-6分（含6分）； 处理方案逻辑混乱，可行性及针对性较差得0-3分（含3分）。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合理化建议：有利于本项目工作顺利进行的合理化建议详细合理，可行性及针对性强得2-4分； 合理化建议较简洁，针对性较差得1-2分（含2分）； 合理化建议含糊无实质性内容得0-1分（含1分）。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-5分；售后服务措施和承诺基本合理，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p>
            <w:pPr>
              <w:pStyle w:val="null3"/>
            </w:pPr>
            <w:r>
              <w:rPr>
                <w:rFonts w:ascii="仿宋_GB2312" w:hAnsi="仿宋_GB2312" w:cs="仿宋_GB2312" w:eastAsia="仿宋_GB2312"/>
              </w:rPr>
              <w:t>七、承诺文件.docx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需求提供技术培训方案，包括但不限于车辆设备的基本结构、主要部件的构造，日常使用操作、保养与管理、常见故障的排除、紧急情况的处理等，保证最终用户能够熟练操作和日常维护、保养及简单故障的排除，方案完全满足要求且执行性强得2-4分； 方案部分满足要求且执行性一般得0-2分（含3分）。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六、项目实施方案.docx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供应商2022年01月01日至今类似项目业绩，每提供1份得1分，最高得3分； 业绩证明（以合同（协议）为准，须在投标文件中附合同（协议）或复印件加盖单位公章，弄虚作假者，取消其中标资格。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九、其他资料.docx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详见附件：一、投标函.docx</w:t>
      </w:r>
    </w:p>
    <w:p>
      <w:pPr>
        <w:pStyle w:val="null3"/>
        <w:ind w:firstLine="960"/>
      </w:pPr>
      <w:r>
        <w:rPr>
          <w:rFonts w:ascii="仿宋_GB2312" w:hAnsi="仿宋_GB2312" w:cs="仿宋_GB2312" w:eastAsia="仿宋_GB2312"/>
        </w:rPr>
        <w:t>详见附件：二、开标一览表.docx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详见附件：四、商务偏离表.docx</w:t>
      </w:r>
    </w:p>
    <w:p>
      <w:pPr>
        <w:pStyle w:val="null3"/>
        <w:ind w:firstLine="960"/>
      </w:pPr>
      <w:r>
        <w:rPr>
          <w:rFonts w:ascii="仿宋_GB2312" w:hAnsi="仿宋_GB2312" w:cs="仿宋_GB2312" w:eastAsia="仿宋_GB2312"/>
        </w:rPr>
        <w:t>详见附件：五、技术偏离表.docx</w:t>
      </w:r>
    </w:p>
    <w:p>
      <w:pPr>
        <w:pStyle w:val="null3"/>
        <w:ind w:firstLine="960"/>
      </w:pPr>
      <w:r>
        <w:rPr>
          <w:rFonts w:ascii="仿宋_GB2312" w:hAnsi="仿宋_GB2312" w:cs="仿宋_GB2312" w:eastAsia="仿宋_GB2312"/>
        </w:rPr>
        <w:t>详见附件：六、项目实施方案.docx</w:t>
      </w:r>
    </w:p>
    <w:p>
      <w:pPr>
        <w:pStyle w:val="null3"/>
        <w:ind w:firstLine="960"/>
      </w:pPr>
      <w:r>
        <w:rPr>
          <w:rFonts w:ascii="仿宋_GB2312" w:hAnsi="仿宋_GB2312" w:cs="仿宋_GB2312" w:eastAsia="仿宋_GB2312"/>
        </w:rPr>
        <w:t>详见附件：七、承诺文件.docx</w:t>
      </w:r>
    </w:p>
    <w:p>
      <w:pPr>
        <w:pStyle w:val="null3"/>
        <w:ind w:firstLine="960"/>
      </w:pPr>
      <w:r>
        <w:rPr>
          <w:rFonts w:ascii="仿宋_GB2312" w:hAnsi="仿宋_GB2312" w:cs="仿宋_GB2312" w:eastAsia="仿宋_GB2312"/>
        </w:rPr>
        <w:t>详见附件：八、资格证明文件.docx</w:t>
      </w:r>
    </w:p>
    <w:p>
      <w:pPr>
        <w:pStyle w:val="null3"/>
        <w:ind w:firstLine="960"/>
      </w:pPr>
      <w:r>
        <w:rPr>
          <w:rFonts w:ascii="仿宋_GB2312" w:hAnsi="仿宋_GB2312" w:cs="仿宋_GB2312" w:eastAsia="仿宋_GB2312"/>
        </w:rPr>
        <w:t>详见附件：九、其他资料.docx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详见附件：一、投标函.docx</w:t>
      </w:r>
    </w:p>
    <w:p>
      <w:pPr>
        <w:pStyle w:val="null3"/>
        <w:ind w:firstLine="960"/>
      </w:pPr>
      <w:r>
        <w:rPr>
          <w:rFonts w:ascii="仿宋_GB2312" w:hAnsi="仿宋_GB2312" w:cs="仿宋_GB2312" w:eastAsia="仿宋_GB2312"/>
        </w:rPr>
        <w:t>详见附件：二、开标一览表.docx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详见附件：四、商务偏离表.docx</w:t>
      </w:r>
    </w:p>
    <w:p>
      <w:pPr>
        <w:pStyle w:val="null3"/>
        <w:ind w:firstLine="960"/>
      </w:pPr>
      <w:r>
        <w:rPr>
          <w:rFonts w:ascii="仿宋_GB2312" w:hAnsi="仿宋_GB2312" w:cs="仿宋_GB2312" w:eastAsia="仿宋_GB2312"/>
        </w:rPr>
        <w:t>详见附件：五、技术偏离表.docx</w:t>
      </w:r>
    </w:p>
    <w:p>
      <w:pPr>
        <w:pStyle w:val="null3"/>
        <w:ind w:firstLine="960"/>
      </w:pPr>
      <w:r>
        <w:rPr>
          <w:rFonts w:ascii="仿宋_GB2312" w:hAnsi="仿宋_GB2312" w:cs="仿宋_GB2312" w:eastAsia="仿宋_GB2312"/>
        </w:rPr>
        <w:t>详见附件：六、项目实施方案.docx</w:t>
      </w:r>
    </w:p>
    <w:p>
      <w:pPr>
        <w:pStyle w:val="null3"/>
        <w:ind w:firstLine="960"/>
      </w:pPr>
      <w:r>
        <w:rPr>
          <w:rFonts w:ascii="仿宋_GB2312" w:hAnsi="仿宋_GB2312" w:cs="仿宋_GB2312" w:eastAsia="仿宋_GB2312"/>
        </w:rPr>
        <w:t>详见附件：七、承诺文件.docx</w:t>
      </w:r>
    </w:p>
    <w:p>
      <w:pPr>
        <w:pStyle w:val="null3"/>
        <w:ind w:firstLine="960"/>
      </w:pPr>
      <w:r>
        <w:rPr>
          <w:rFonts w:ascii="仿宋_GB2312" w:hAnsi="仿宋_GB2312" w:cs="仿宋_GB2312" w:eastAsia="仿宋_GB2312"/>
        </w:rPr>
        <w:t>详见附件：八、资格证明文件.docx</w:t>
      </w:r>
    </w:p>
    <w:p>
      <w:pPr>
        <w:pStyle w:val="null3"/>
        <w:ind w:firstLine="960"/>
      </w:pPr>
      <w:r>
        <w:rPr>
          <w:rFonts w:ascii="仿宋_GB2312" w:hAnsi="仿宋_GB2312" w:cs="仿宋_GB2312" w:eastAsia="仿宋_GB2312"/>
        </w:rPr>
        <w:t>详见附件：九、其他资料.docx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