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版本号：DZZFCG-2025-0220251104001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漆水河污水管网水毁及缺陷抢修工程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DZZFCG-2025-02</w:t>
      </w:r>
      <w:r>
        <w:br/>
      </w:r>
      <w:r>
        <w:br/>
      </w:r>
      <w:r>
        <w:br/>
      </w:r>
    </w:p>
    <w:p>
      <w:pPr>
        <w:pStyle w:val="null3"/>
        <w:jc w:val="center"/>
        <w:outlineLvl w:val="2"/>
      </w:pPr>
      <w:r>
        <w:rPr>
          <w:rFonts w:ascii="仿宋_GB2312" w:hAnsi="仿宋_GB2312" w:cs="仿宋_GB2312" w:eastAsia="仿宋_GB2312"/>
          <w:sz w:val="28"/>
          <w:b/>
        </w:rPr>
        <w:t>铜川市污水处理工程筹建处</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铜川市污水处理工程筹建处</w:t>
      </w:r>
      <w:r>
        <w:rPr>
          <w:rFonts w:ascii="仿宋_GB2312" w:hAnsi="仿宋_GB2312" w:cs="仿宋_GB2312" w:eastAsia="仿宋_GB2312"/>
        </w:rPr>
        <w:t>委托，拟对</w:t>
      </w:r>
      <w:r>
        <w:rPr>
          <w:rFonts w:ascii="仿宋_GB2312" w:hAnsi="仿宋_GB2312" w:cs="仿宋_GB2312" w:eastAsia="仿宋_GB2312"/>
        </w:rPr>
        <w:t>漆水河污水管网水毁及缺陷抢修工程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DZZFCG-2025-02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漆水河污水管网水毁及缺陷抢修工程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改造漆水河道污水管网2245.93m，加固包封悬空污水管道492.16m，维修污水检查井93座，拆除更换井具40套，拆除恢复河道绿化苗木400㎡及其他附属设施维修等.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采购包1（漆水河污水管网水毁及缺陷抢修工程）：属于专门面向中小企业采购。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并出具合法有效的营业执照或事业单位法人证书等国家规定的相关证明。：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2、提供具有财务审计资质单位出具的2024年度财务审计报告或磋商前六个月内其基本账户银行出具的 资信证明。：提供具有财务审计资质单位出具的2024年度财务审计报告或磋商前六个月内其基本账户银行出具的 资信证明。</w:t>
      </w:r>
    </w:p>
    <w:p>
      <w:pPr>
        <w:pStyle w:val="null3"/>
      </w:pPr>
      <w:r>
        <w:rPr>
          <w:rFonts w:ascii="仿宋_GB2312" w:hAnsi="仿宋_GB2312" w:cs="仿宋_GB2312" w:eastAsia="仿宋_GB2312"/>
        </w:rPr>
        <w:t>3、依法缴纳税收和社会保障资金相关材料（提供截止磋商前六个月内任意两个月缴纳证明）。：依法缴纳税收和社会保障资金相关材料（提供截止磋商前六个月内任意两个月缴纳证明）。</w:t>
      </w:r>
    </w:p>
    <w:p>
      <w:pPr>
        <w:pStyle w:val="null3"/>
      </w:pPr>
      <w:r>
        <w:rPr>
          <w:rFonts w:ascii="仿宋_GB2312" w:hAnsi="仿宋_GB2312" w:cs="仿宋_GB2312" w:eastAsia="仿宋_GB2312"/>
        </w:rPr>
        <w:t>4、承诺及说明：1、提供具有履行本合同所必需的设备和专业技术能力的承诺的说明。2、提供参加政府采购活动前三年内在经营活动中没有重大违法记录的书面声明。</w:t>
      </w:r>
    </w:p>
    <w:p>
      <w:pPr>
        <w:pStyle w:val="null3"/>
      </w:pPr>
      <w:r>
        <w:rPr>
          <w:rFonts w:ascii="仿宋_GB2312" w:hAnsi="仿宋_GB2312" w:cs="仿宋_GB2312" w:eastAsia="仿宋_GB2312"/>
        </w:rPr>
        <w:t>5、法定代表人授权书：法定代表人授权书及被授权人身份证复印件(法定代表人直接参加投标，须提交其身份证复印件及法定代表人身份证明)；</w:t>
      </w:r>
    </w:p>
    <w:p>
      <w:pPr>
        <w:pStyle w:val="null3"/>
      </w:pPr>
      <w:r>
        <w:rPr>
          <w:rFonts w:ascii="仿宋_GB2312" w:hAnsi="仿宋_GB2312" w:cs="仿宋_GB2312" w:eastAsia="仿宋_GB2312"/>
        </w:rPr>
        <w:t>6、信用截图：供应商不得为“信用中国”网站(www.creditchina.gov.cn)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7、备案信息：供应商、拟派项目经理需在“陕西省住房和城乡建设厅（http://js.shaanxi.gov.cn/）陕西省建筑市场监管与诚信信息发布平台”可查询；</w:t>
      </w:r>
    </w:p>
    <w:p>
      <w:pPr>
        <w:pStyle w:val="null3"/>
      </w:pPr>
      <w:r>
        <w:rPr>
          <w:rFonts w:ascii="仿宋_GB2312" w:hAnsi="仿宋_GB2312" w:cs="仿宋_GB2312" w:eastAsia="仿宋_GB2312"/>
        </w:rPr>
        <w:t>8、企业资质：供应商具有市政公用工程施工总承包三级（含三级）及以上资质，具有安全生产许可证；</w:t>
      </w:r>
    </w:p>
    <w:p>
      <w:pPr>
        <w:pStyle w:val="null3"/>
      </w:pPr>
      <w:r>
        <w:rPr>
          <w:rFonts w:ascii="仿宋_GB2312" w:hAnsi="仿宋_GB2312" w:cs="仿宋_GB2312" w:eastAsia="仿宋_GB2312"/>
        </w:rPr>
        <w:t>9、拟派项目负责人要求：拟派项目经理具备市政公用工程二级注册建造师及以上执业资格，并具有有效的安全生产考核合格证书；且未担任其他在建工程项目的项目经理。</w:t>
      </w:r>
    </w:p>
    <w:p>
      <w:pPr>
        <w:pStyle w:val="null3"/>
      </w:pPr>
      <w:r>
        <w:rPr>
          <w:rFonts w:ascii="仿宋_GB2312" w:hAnsi="仿宋_GB2312" w:cs="仿宋_GB2312" w:eastAsia="仿宋_GB2312"/>
        </w:rPr>
        <w:t>10、非联合体声明：本项目不接受联合体磋商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铜川市污水处理工程筹建处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铜川市新区东环路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铜川市污水处理工程筹建处经办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18091905651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采购包1：2,168,437.00元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代理服务费收费标准：招标代理服务费参照国家计委颁布的《招标代理服务收费管理暂行办法 》（计价格『2002』1980号）和国家发展改革委员会办公厅颁发的《关于招标代理服务收费 有关问题的通知》（发改办价格『2003』857号）招标代理服务费的收费标准计取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铜川市污水处理工程筹建处</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铜川市污水处理工程筹建处</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铜川市污水处理工程筹建处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一、交付竣工验收的工程，必须符合规定的工程质量标准，有完整的工程技术经济资料和经签署的工程保修书，并具备国家规定的其他竣工条件。 工程竣工经验收合格后，方可交付使用；未经验收或者验收不合格的，不得交付使用 二、验收结果合格的，采购人应向成交供应商出具履约验收报告，成交供应商凭验收报告办理相关手续。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地址：陕西省西安市雁塔区高新区科技路金桥国际广场12009号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2,168,437.00</w:t>
      </w:r>
    </w:p>
    <w:p>
      <w:pPr>
        <w:pStyle w:val="null3"/>
      </w:pPr>
      <w:r>
        <w:rPr>
          <w:rFonts w:ascii="仿宋_GB2312" w:hAnsi="仿宋_GB2312" w:cs="仿宋_GB2312" w:eastAsia="仿宋_GB2312"/>
        </w:rPr>
        <w:t>采购包最高限价（元）: 2,168,437.00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漆水河污水管网水毁及缺陷抢修工程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2,168,437.00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标的名称：漆水河污水管网水毁及缺陷抢修工程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A82E5"/>
                <w:shd w:fill="FFFFFF" w:val="clear"/>
              </w:rPr>
              <w:t>一、技术、服务标准和要求：</w:t>
            </w:r>
          </w:p>
          <w:p>
            <w:pPr>
              <w:pStyle w:val="null3"/>
              <w:ind w:firstLine="480"/>
              <w:jc w:val="left"/>
            </w:pPr>
            <w:r>
              <w:rPr>
                <w:rFonts w:ascii="仿宋_GB2312" w:hAnsi="仿宋_GB2312" w:cs="仿宋_GB2312" w:eastAsia="仿宋_GB2312"/>
                <w:sz w:val="24"/>
                <w:color w:val="0A82E5"/>
                <w:shd w:fill="FFFFFF" w:val="clear"/>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480"/>
              <w:jc w:val="both"/>
            </w:pPr>
            <w:r>
              <w:rPr>
                <w:rFonts w:ascii="仿宋_GB2312" w:hAnsi="仿宋_GB2312" w:cs="仿宋_GB2312" w:eastAsia="仿宋_GB2312"/>
                <w:sz w:val="24"/>
                <w:color w:val="0A82E5"/>
                <w:shd w:fill="FFFFFF" w:val="clear"/>
              </w:rPr>
              <w:t>2.供应商在施工过程中使用或参考上述标准、规范以外的技术标准、规范时，应征得采购人的同意。</w:t>
            </w:r>
          </w:p>
          <w:p>
            <w:pPr>
              <w:pStyle w:val="null3"/>
              <w:ind w:firstLine="480"/>
              <w:jc w:val="both"/>
            </w:pPr>
            <w:r>
              <w:rPr>
                <w:rFonts w:ascii="仿宋_GB2312" w:hAnsi="仿宋_GB2312" w:cs="仿宋_GB2312" w:eastAsia="仿宋_GB2312"/>
                <w:sz w:val="24"/>
                <w:color w:val="0A82E5"/>
                <w:shd w:fill="FFFFFF" w:val="clear"/>
              </w:rPr>
              <w:t>3.在施工过程中，如果国家或有关部门颁布了新的技术标准或规范，则承包人应采用新的标准或规范进行施工。</w:t>
            </w:r>
          </w:p>
          <w:p>
            <w:pPr>
              <w:pStyle w:val="null3"/>
              <w:ind w:firstLine="480"/>
              <w:jc w:val="both"/>
            </w:pPr>
            <w:r>
              <w:rPr>
                <w:rFonts w:ascii="仿宋_GB2312" w:hAnsi="仿宋_GB2312" w:cs="仿宋_GB2312" w:eastAsia="仿宋_GB2312"/>
                <w:sz w:val="24"/>
                <w:color w:val="0A82E5"/>
                <w:shd w:fill="FFFFFF" w:val="clear"/>
              </w:rPr>
              <w:t>4.采购人提供工程的施工图纸和相关技术文件，是采购人现有的能被供应商利用的资料，采购人对供应商做出的任何推论、理解均不负责任。</w:t>
            </w:r>
          </w:p>
          <w:p>
            <w:pPr>
              <w:pStyle w:val="null3"/>
              <w:ind w:firstLine="480"/>
              <w:jc w:val="both"/>
            </w:pPr>
            <w:r>
              <w:rPr>
                <w:rFonts w:ascii="仿宋_GB2312" w:hAnsi="仿宋_GB2312" w:cs="仿宋_GB2312" w:eastAsia="仿宋_GB2312"/>
                <w:sz w:val="24"/>
                <w:color w:val="0A82E5"/>
                <w:shd w:fill="FFFFFF" w:val="clear"/>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 、机市场水平和供应、投标风险、不利的施工因素等， 任何因忽视或误解工地情况而导致的索赔或工期延长申请将不获批准 。</w:t>
            </w:r>
          </w:p>
          <w:p>
            <w:pPr>
              <w:pStyle w:val="null3"/>
              <w:ind w:firstLine="480"/>
              <w:jc w:val="both"/>
            </w:pPr>
            <w:r>
              <w:rPr>
                <w:rFonts w:ascii="仿宋_GB2312" w:hAnsi="仿宋_GB2312" w:cs="仿宋_GB2312" w:eastAsia="仿宋_GB2312"/>
                <w:sz w:val="24"/>
                <w:color w:val="0A82E5"/>
                <w:shd w:fill="FFFFFF" w:val="clear"/>
              </w:rPr>
              <w:t>6.供应商所提供的材料如需向第三方外购时，供应商应对质量负责，并提供相应的出厂和验收证明及相关技术文件。同时，还应满足本磋商文件、工程量清单、施工图纸中的相关技术要求。</w:t>
            </w:r>
          </w:p>
          <w:p>
            <w:pPr>
              <w:pStyle w:val="null3"/>
              <w:ind w:firstLine="480"/>
              <w:jc w:val="both"/>
            </w:pPr>
            <w:r>
              <w:rPr>
                <w:rFonts w:ascii="仿宋_GB2312" w:hAnsi="仿宋_GB2312" w:cs="仿宋_GB2312" w:eastAsia="仿宋_GB2312"/>
                <w:sz w:val="24"/>
                <w:color w:val="0A82E5"/>
                <w:shd w:fill="FFFFFF" w:val="clear"/>
              </w:rPr>
              <w:t>7.质量必须达到现行合格标准，符合国家、行业、地方规定以及竞争性磋商文件规定的强制性质量和安全标准要求。</w:t>
            </w:r>
          </w:p>
          <w:p>
            <w:pPr>
              <w:pStyle w:val="null3"/>
              <w:ind w:firstLine="480"/>
              <w:jc w:val="both"/>
            </w:pPr>
            <w:r>
              <w:rPr>
                <w:rFonts w:ascii="仿宋_GB2312" w:hAnsi="仿宋_GB2312" w:cs="仿宋_GB2312" w:eastAsia="仿宋_GB2312"/>
                <w:sz w:val="24"/>
                <w:color w:val="0A82E5"/>
                <w:shd w:fill="FFFFFF" w:val="clear"/>
              </w:rPr>
              <w:t>8.供应商中标后，磋商响应文件中拟派项目经理必须与施工时实际委派项目经理一致，采购人将在签署施工合同前查验项目经理相关资质、身份材料以及中标人为项目经理最近半年缴纳社保的缴费凭据 。项目经理必须履职尽责，全程参与施工、例会、解决施工中的问题，严禁挂名挂证。</w:t>
            </w:r>
          </w:p>
          <w:p>
            <w:pPr>
              <w:pStyle w:val="null3"/>
              <w:ind w:firstLine="480"/>
              <w:jc w:val="both"/>
            </w:pPr>
            <w:r>
              <w:rPr>
                <w:rFonts w:ascii="仿宋_GB2312" w:hAnsi="仿宋_GB2312" w:cs="仿宋_GB2312" w:eastAsia="仿宋_GB2312"/>
                <w:sz w:val="24"/>
                <w:color w:val="0A82E5"/>
                <w:shd w:fill="FFFFFF" w:val="clear"/>
              </w:rPr>
              <w:t>9.本项目如涉及与政府部门（包含且不限于）环保、城管、地铁、规划等沟通协调或办理手续，费用及手续办理均由承包人负责，如因沟通协调及办理手续原因造成工期延误或费用增加等由承包人负责。</w:t>
            </w:r>
          </w:p>
          <w:p>
            <w:pPr>
              <w:pStyle w:val="null3"/>
              <w:ind w:firstLine="480"/>
              <w:jc w:val="both"/>
            </w:pPr>
            <w:r>
              <w:rPr>
                <w:rFonts w:ascii="仿宋_GB2312" w:hAnsi="仿宋_GB2312" w:cs="仿宋_GB2312" w:eastAsia="仿宋_GB2312"/>
                <w:sz w:val="24"/>
                <w:color w:val="0A82E5"/>
                <w:shd w:fill="FFFFFF" w:val="clear"/>
              </w:rPr>
              <w:t>10.施工过程中，供应商应制定详细可行的防污降噪处理措施，减少对周围环境的影响，每天施工结束后对施工现场进行清扫。</w:t>
            </w:r>
          </w:p>
          <w:p>
            <w:pPr>
              <w:pStyle w:val="null3"/>
              <w:ind w:firstLine="480"/>
              <w:jc w:val="both"/>
            </w:pPr>
            <w:r>
              <w:rPr>
                <w:rFonts w:ascii="仿宋_GB2312" w:hAnsi="仿宋_GB2312" w:cs="仿宋_GB2312" w:eastAsia="仿宋_GB2312"/>
                <w:sz w:val="24"/>
                <w:color w:val="0A82E5"/>
                <w:shd w:fill="FFFFFF" w:val="clear"/>
              </w:rPr>
              <w:t>11.承包人需要将专业工程或劳务进行分包的，应分包给具有相应资质的专业或劳务企业，并与分包企业签订分包合同。</w:t>
            </w:r>
          </w:p>
          <w:p>
            <w:pPr>
              <w:pStyle w:val="null3"/>
              <w:ind w:firstLine="480"/>
              <w:jc w:val="both"/>
            </w:pPr>
            <w:r>
              <w:rPr>
                <w:rFonts w:ascii="仿宋_GB2312" w:hAnsi="仿宋_GB2312" w:cs="仿宋_GB2312" w:eastAsia="仿宋_GB2312"/>
                <w:sz w:val="24"/>
                <w:color w:val="0A82E5"/>
                <w:shd w:fill="FFFFFF" w:val="clear"/>
              </w:rPr>
              <w:t>12.承包人不得将其承包的工程转包给他人，也不得将其承包的工程以分包的名义转包给他人。</w:t>
            </w:r>
          </w:p>
          <w:p>
            <w:pPr>
              <w:pStyle w:val="null3"/>
              <w:ind w:firstLine="480"/>
              <w:jc w:val="both"/>
            </w:pPr>
            <w:r>
              <w:rPr>
                <w:rFonts w:ascii="仿宋_GB2312" w:hAnsi="仿宋_GB2312" w:cs="仿宋_GB2312" w:eastAsia="仿宋_GB2312"/>
                <w:sz w:val="24"/>
                <w:color w:val="0A82E5"/>
                <w:shd w:fill="FFFFFF" w:val="clear"/>
              </w:rPr>
              <w:t>13.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p>
          <w:p>
            <w:pPr>
              <w:pStyle w:val="null3"/>
              <w:jc w:val="both"/>
            </w:pPr>
            <w:r>
              <w:rPr>
                <w:rFonts w:ascii="仿宋_GB2312" w:hAnsi="仿宋_GB2312" w:cs="仿宋_GB2312" w:eastAsia="仿宋_GB2312"/>
                <w:sz w:val="24"/>
                <w:color w:val="0A82E5"/>
                <w:shd w:fill="FFFFFF" w:val="clear"/>
              </w:rPr>
              <w:t>二、本工程合同形式为固定综合单价合同：</w:t>
            </w:r>
          </w:p>
          <w:p>
            <w:pPr>
              <w:pStyle w:val="null3"/>
              <w:ind w:firstLine="480"/>
              <w:jc w:val="both"/>
            </w:pPr>
            <w:r>
              <w:rPr>
                <w:rFonts w:ascii="仿宋_GB2312" w:hAnsi="仿宋_GB2312" w:cs="仿宋_GB2312" w:eastAsia="仿宋_GB2312"/>
                <w:sz w:val="24"/>
                <w:color w:val="0A82E5"/>
                <w:shd w:fill="FFFFFF" w:val="clear"/>
              </w:rPr>
              <w:t>1.本工程计价采用固定综合单价，各供应商依据企业自身情况自主报价、风险自负。所有投标报价中的单价和合价均以人民币表示。</w:t>
            </w:r>
          </w:p>
          <w:p>
            <w:pPr>
              <w:pStyle w:val="null3"/>
              <w:ind w:firstLine="480"/>
              <w:jc w:val="both"/>
            </w:pPr>
            <w:r>
              <w:rPr>
                <w:rFonts w:ascii="仿宋_GB2312" w:hAnsi="仿宋_GB2312" w:cs="仿宋_GB2312" w:eastAsia="仿宋_GB2312"/>
                <w:sz w:val="24"/>
                <w:color w:val="0A82E5"/>
                <w:shd w:fill="FFFFFF" w:val="clear"/>
              </w:rPr>
              <w:t>2.供应商在投标报价时应仔细对磋商文件进行透彻的分析研究，对图纸进行仔细的阅读和理解。</w:t>
            </w:r>
          </w:p>
          <w:p>
            <w:pPr>
              <w:pStyle w:val="null3"/>
              <w:ind w:firstLine="480"/>
              <w:jc w:val="both"/>
            </w:pPr>
            <w:r>
              <w:rPr>
                <w:rFonts w:ascii="仿宋_GB2312" w:hAnsi="仿宋_GB2312" w:cs="仿宋_GB2312" w:eastAsia="仿宋_GB2312"/>
                <w:sz w:val="24"/>
                <w:color w:val="0A82E5"/>
                <w:shd w:fill="FFFFFF" w:val="clear"/>
              </w:rPr>
              <w:t>3.各供应商对分部分项工程费、措施项目费、其他项目费等进行自主报价、风险自负。</w:t>
            </w:r>
          </w:p>
          <w:p>
            <w:pPr>
              <w:pStyle w:val="null3"/>
              <w:ind w:firstLine="480"/>
              <w:jc w:val="both"/>
            </w:pPr>
            <w:r>
              <w:rPr>
                <w:rFonts w:ascii="仿宋_GB2312" w:hAnsi="仿宋_GB2312" w:cs="仿宋_GB2312" w:eastAsia="仿宋_GB2312"/>
                <w:sz w:val="24"/>
                <w:color w:val="0A82E5"/>
                <w:shd w:fill="FFFFFF" w:val="clear"/>
              </w:rPr>
              <w:t>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 、管理费、利润、风险费及规费、税金等政策性文件规定的所有费用，所投标的综合单价采购人视为是相应清单项在招标范围内的全部内容价格。</w:t>
            </w:r>
          </w:p>
          <w:p>
            <w:pPr>
              <w:pStyle w:val="null3"/>
              <w:ind w:firstLine="480"/>
              <w:jc w:val="both"/>
            </w:pPr>
            <w:r>
              <w:rPr>
                <w:rFonts w:ascii="仿宋_GB2312" w:hAnsi="仿宋_GB2312" w:cs="仿宋_GB2312" w:eastAsia="仿宋_GB2312"/>
                <w:sz w:val="24"/>
                <w:color w:val="0A82E5"/>
                <w:shd w:fill="FFFFFF" w:val="clear"/>
              </w:rPr>
              <w:t>5.供应商在投标截止前修改投标函中的投标总报价，应同时修改</w:t>
            </w: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已标价工程量清单</w:t>
            </w: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中的相应报价。</w:t>
            </w:r>
          </w:p>
          <w:p>
            <w:pPr>
              <w:pStyle w:val="null3"/>
              <w:ind w:firstLine="480"/>
              <w:jc w:val="both"/>
            </w:pPr>
            <w:r>
              <w:rPr>
                <w:rFonts w:ascii="仿宋_GB2312" w:hAnsi="仿宋_GB2312" w:cs="仿宋_GB2312" w:eastAsia="仿宋_GB2312"/>
                <w:sz w:val="24"/>
                <w:color w:val="0A82E5"/>
                <w:shd w:fill="FFFFFF" w:val="clear"/>
              </w:rPr>
              <w:t>三、预留金及暂估价</w:t>
            </w:r>
          </w:p>
          <w:p>
            <w:pPr>
              <w:pStyle w:val="null3"/>
            </w:pPr>
            <w:r>
              <w:rPr>
                <w:rFonts w:ascii="仿宋_GB2312" w:hAnsi="仿宋_GB2312" w:cs="仿宋_GB2312" w:eastAsia="仿宋_GB2312"/>
                <w:sz w:val="24"/>
                <w:color w:val="0A82E5"/>
                <w:shd w:fill="FFFFFF" w:val="clear"/>
              </w:rPr>
              <w:t>暂估价（围堰）：300000元</w:t>
            </w:r>
          </w:p>
          <w:p>
            <w:pPr>
              <w:pStyle w:val="null3"/>
            </w:pPr>
            <w:r>
              <w:rPr>
                <w:rFonts w:ascii="仿宋_GB2312" w:hAnsi="仿宋_GB2312" w:cs="仿宋_GB2312" w:eastAsia="仿宋_GB2312"/>
                <w:sz w:val="24"/>
                <w:color w:val="0A82E5"/>
                <w:shd w:fill="FFFFFF" w:val="clear"/>
              </w:rPr>
              <w:t xml:space="preserve">         预留金：100000元</w:t>
            </w:r>
          </w:p>
          <w:p>
            <w:pPr>
              <w:pStyle w:val="null3"/>
              <w:ind w:firstLine="48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满足相关技术规范、施工合同及采购人要求。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本项目：暂估价（围堰）：300000元 预留金：100000元 工期：120天 施工地点：采购人指定施工地点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关于财务会计制度的证明材料｛注：①可提供具有财务审计资质单位出具的2024年度财务审计报告或磋商前六个月内其基本账户银行出具的资信证明。｝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提供具有财务审计资质单位出具的2024年度财务审计报告或磋商前六个月内其基本账户银行出具的 资信证明。</w:t>
            </w:r>
          </w:p>
        </w:tc>
        <w:tc>
          <w:tcPr>
            <w:tcW w:type="dxa" w:w="3322"/>
          </w:tcPr>
          <w:p>
            <w:pPr>
              <w:pStyle w:val="null3"/>
            </w:pPr>
            <w:r>
              <w:rPr>
                <w:rFonts w:ascii="仿宋_GB2312" w:hAnsi="仿宋_GB2312" w:cs="仿宋_GB2312" w:eastAsia="仿宋_GB2312"/>
              </w:rPr>
              <w:t>提供具有财务审计资质单位出具的2024年度财务审计报告或磋商前六个月内其基本账户银行出具的 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依法缴纳税收和社会保障资金相关材料（提供截止磋商前六个月内任意两个月缴纳证明）。</w:t>
            </w:r>
          </w:p>
        </w:tc>
        <w:tc>
          <w:tcPr>
            <w:tcW w:type="dxa" w:w="3322"/>
          </w:tcPr>
          <w:p>
            <w:pPr>
              <w:pStyle w:val="null3"/>
            </w:pPr>
            <w:r>
              <w:rPr>
                <w:rFonts w:ascii="仿宋_GB2312" w:hAnsi="仿宋_GB2312" w:cs="仿宋_GB2312" w:eastAsia="仿宋_GB2312"/>
              </w:rPr>
              <w:t>依法缴纳税收和社会保障资金相关材料（提供截止磋商前六个月内任意两个月缴纳证明）。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1、提供具有履行本合同所必需的设备和专业技术能力的承诺的说明。2、提供参加政府采购活动前三年内在经营活动中没有重大违法记录的书面声明。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法定代表人授权书及被授权人身份证复印件(法定代表人直接参加投标，须提交其身份证复印件及法定代表人身份证明)；</w:t>
            </w:r>
          </w:p>
        </w:tc>
        <w:tc>
          <w:tcPr>
            <w:tcW w:type="dxa" w:w="1661"/>
          </w:tcPr>
          <w:p>
            <w:pPr>
              <w:pStyle w:val="null3"/>
            </w:pPr>
            <w:r>
              <w:rPr>
                <w:rFonts w:ascii="仿宋_GB2312" w:hAnsi="仿宋_GB2312" w:cs="仿宋_GB2312" w:eastAsia="仿宋_GB2312"/>
              </w:rPr>
              <w:t>法定代表人身份证明及授权委托书.docx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备案信息</w:t>
            </w:r>
          </w:p>
        </w:tc>
        <w:tc>
          <w:tcPr>
            <w:tcW w:type="dxa" w:w="3322"/>
          </w:tcPr>
          <w:p>
            <w:pPr>
              <w:pStyle w:val="null3"/>
            </w:pPr>
            <w:r>
              <w:rPr>
                <w:rFonts w:ascii="仿宋_GB2312" w:hAnsi="仿宋_GB2312" w:cs="仿宋_GB2312" w:eastAsia="仿宋_GB2312"/>
              </w:rPr>
              <w:t>供应商、拟派项目经理需在“陕西省住房和城乡建设厅（http://js.shaanxi.gov.cn/）陕西省建筑市场监管与诚信信息发布平台”可查询；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供应商具有市政公用工程施工总承包三级（含三级）及以上资质，具有安全生产许可证；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拟派项目经理具备市政公用工程二级注册建造师及以上执业资格，并具有有效的安全生产考核合格证书；且未担任其他在建工程项目的项目经理。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法定代表人身份证明及授权委托书.docx 项目管理机构组成表 残疾人福利性单位声明函 施工方案.docx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均按磋商文件要求签字、盖章。</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法定代表人身份证明及授权委托书.docx 项目管理机构组成表 残疾人福利性单位声明函 施工方案.docx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施工方案及相关技术措施</w:t>
            </w:r>
          </w:p>
        </w:tc>
        <w:tc>
          <w:tcPr>
            <w:tcW w:type="dxa" w:w="2492"/>
          </w:tcPr>
          <w:p>
            <w:pPr>
              <w:pStyle w:val="null3"/>
            </w:pPr>
            <w:r>
              <w:rPr>
                <w:rFonts w:ascii="仿宋_GB2312" w:hAnsi="仿宋_GB2312" w:cs="仿宋_GB2312" w:eastAsia="仿宋_GB2312"/>
              </w:rPr>
              <w:t>针对本项目提供完善的施工方案及相关技术措施，内容包含但不限于：①对项目总体 概况表述；②施工部署及措施；③对项目主要及关键方案的表述；④施工技术措施等。 评审标准：内容详细全面，对评审内容中的各项要求有详细描述；切合本项目实际情况，方案全面、施工步骤清晰、合理；方案能够紧扣项目实际情况，内容科学合理。符合本项目要求得12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完善的工程质量的技术组织措施，内容包含但不限于：①质量管理工作流程；②工程质量保障方案；③工程质量控制体系；④各施工阶段质量管理措施等。评审标准：质量目标明确，预控和动态控制措施完整，管理休系和组织措施功能完善、管理幅度适 宜，有关措施针对性强；切合本项目实际情况，方案全面、步骤清晰、合理；方案能够紧扣项目实际情况，内容科学合理。符合本项目要求得8分。评审内容每缺一项扣2分，评审内容有不完整、表达简单笼统、缺少关键点，或不适用本项目特性等扣0.1-1.9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针对本项目提供完善的安全施工保证措施，内容包含但不限于：①安全生产目标及安全管理体系；②安全生产保障措施；评审标准：安全组织机构、技术措施等内容详细全面，对评审内容中的各项要求有详细描述；切合本项目实际情况，方案全面、施工安全步骤清晰、合理；方案能够紧扣项目实际情况，内容科学合理。符合本项目要求得8分。评审内容每缺一项扣4分，评审内容有不完整、表达简单笼统、缺少关键点，或不适用本项目特性等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针对本项目提供完善的文明施工及环境保护的技术组织措施，内容包含但不限于：①安全文明施工目标及施工现场的管理措施；②文明施工保障措施；③环境保护管理体系及措施等。审标准：文明施工及环境保护的组织机构、技术措施、制度完善、内容详细全面，对评审内容中的各项要求有详细描述；切合本项目实际情况，方案全面、步骤清晰、合理；方案能够紧扣项目实际情况，内容科学合理。符合本项目要求得6分。评审内容每缺一项扣2分，评审内容有不完整、表达简单笼统、缺少关键点，或不适用本项目特性等扣0.1-1.9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完善的工程进度计划与措施，内容包含但不限于：①工期目标及施工进度计划措施；②遇夜间、雨季、高温等情况的工期保证措施。评审标准：工期保证措施得当，对本项目的工期重要性理解特别透彻，按时完工可靠性高内容详细全面，对评审内容中的各项要求有详细描述；切合本项目实际情况，方案全面、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施工机械配备及材料投入计划</w:t>
            </w:r>
          </w:p>
        </w:tc>
        <w:tc>
          <w:tcPr>
            <w:tcW w:type="dxa" w:w="2492"/>
          </w:tcPr>
          <w:p>
            <w:pPr>
              <w:pStyle w:val="null3"/>
            </w:pPr>
            <w:r>
              <w:rPr>
                <w:rFonts w:ascii="仿宋_GB2312" w:hAnsi="仿宋_GB2312" w:cs="仿宋_GB2312" w:eastAsia="仿宋_GB2312"/>
              </w:rPr>
              <w:t>提供针对本项目完善的资源配备计划，内容包含但不限于：①主要材料供应计划；②施工机械设备配备计划；③材料设备发生紧急情况的调度配备计划等。评审标准：施工机械配备满足施工需求，又具备实操性和可持续性，内容详细全面，对评审内容中的各项要求有详细描述；切合本项目实际情况，方案全面、合理；方案能够紧扣项目实际情况，内容科学合理。符合本项目要求得9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供应商提供针对本项目实际需求编制保修服务措施及承诺，包括不限于①详细的保修服务措施；②保修承诺。 评审标准：工程施工售后服务围绕服务质量、 响应效率、问题解决能力及客户满 意度等核心维度，确保售后环节有效保障工程质量和客户权益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供应商提供针对本项目实际需求编制项目部组成人员，包括不限于①项目部组成人员配备计划；②配备人员相关证书；③人员岗位职责。 评审标准：项目组织机构合理，人员分工明确、具有相关职称和资格证，经验丰富；切合本项目实际情况，方案全面、合理；项目组织机构能够紧扣项目实际情况，人员配备科学合理。符合本项目要求得9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供应商近3年(自2022年1月1日至今以合同签订日期为准)类似项目业绩，每提供一个业绩得2分，最多得6分；（须附类似项目业绩合同的复印件或扫描件，并加盖公章）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详见附件：法定代表人身份证明及授权委托书.docx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