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版本号：ZC-YDQ2025-002-120251106001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市一中在籍学生健康体检项目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ZC-YDQ2025-002-1</w:t>
      </w:r>
      <w:r>
        <w:br/>
      </w:r>
      <w:r>
        <w:br/>
      </w:r>
      <w:r>
        <w:br/>
      </w:r>
    </w:p>
    <w:p>
      <w:pPr>
        <w:pStyle w:val="null3"/>
        <w:jc w:val="center"/>
        <w:outlineLvl w:val="2"/>
      </w:pPr>
      <w:r>
        <w:rPr>
          <w:rFonts w:ascii="仿宋_GB2312" w:hAnsi="仿宋_GB2312" w:cs="仿宋_GB2312" w:eastAsia="仿宋_GB2312"/>
          <w:sz w:val="28"/>
          <w:b/>
        </w:rPr>
        <w:t>铜川市第一中学</w:t>
      </w:r>
    </w:p>
    <w:p>
      <w:pPr>
        <w:pStyle w:val="null3"/>
        <w:jc w:val="center"/>
        <w:outlineLvl w:val="2"/>
      </w:pPr>
      <w:r>
        <w:rPr>
          <w:rFonts w:ascii="仿宋_GB2312" w:hAnsi="仿宋_GB2312" w:cs="仿宋_GB2312" w:eastAsia="仿宋_GB2312"/>
          <w:sz w:val="28"/>
          <w:b/>
        </w:rPr>
        <w:t>陕西一鼎全项目咨询有限公司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陕西一鼎全项目咨询有限公司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铜川市第一中学</w:t>
      </w:r>
      <w:r>
        <w:rPr>
          <w:rFonts w:ascii="仿宋_GB2312" w:hAnsi="仿宋_GB2312" w:cs="仿宋_GB2312" w:eastAsia="仿宋_GB2312"/>
        </w:rPr>
        <w:t>委托，拟对</w:t>
      </w:r>
      <w:r>
        <w:rPr>
          <w:rFonts w:ascii="仿宋_GB2312" w:hAnsi="仿宋_GB2312" w:cs="仿宋_GB2312" w:eastAsia="仿宋_GB2312"/>
        </w:rPr>
        <w:t>市一中在籍学生健康体检项目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ZC-YDQ2025-002-1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市一中在籍学生健康体检项目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为做好铜川市第一中学学生健康体检工作，全面了解学生的身体状况。 一、体检项目 根据《中小学生健康 体检管理办法（2021年版）》要求，体检项目如下： （一）询问既往疾病史。 （二）体检项目。 1.基本项目： 形态指 标检查：身高、体重、腰围； 内科检查：心、肺、肝、脾，血压，肺活量； 外科检查：头部、颈部、胸部、脊柱、四 肢、皮肤、淋巴结； 眼科检查：眼外观、远视力、屈光度； 口腔科检查：牙齿、牙周； 实验室检查：血常规；肝功能； 其他检查：结核菌素检测。 二、场地、物资准备及体检流程 学校指定专人负责协调对接，提供体检场地、电源，按班级 提供学生花名册。体检单位成立市一中学生健康体检工作专班，准备必要的体检用表、检查器械、试剂耗材、医废桶及医 废袋等。严格按照操作规程进行检查，确保体检结果的准确性和可靠性学生体检分为登记、测量、检查、评估和反馈等环 节进行。 三、体检结果反馈 体检单位以国家统一的体检用表形式向学校反馈学生个体健康体检结果，并由学校向学生及 其监护人反馈。体检表内容包括学生个体体检项目的客观结果、对体检结果的综合评价以及健康指导建议，以超重、肥 胖、营养不良、脊柱弯曲异常、视力不良、龋齿须作为指导的重点。我中心依法保障学生及其家庭等信息不外泄。 体检 单位以学生体检结果分析报告的形式向学校反馈学生健康体检结果。内容包括学校不同年级男女生的生长发育水平，营养 状况分布，脊柱弯曲异常、视力不良、龋齿、缺陷检出率，不同年级存在的主要健康问题以及健康指导建议。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采购包1（市一中在籍学生健康体检项目）：属于专门面向中小企业采购。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1、具有独立承担民事责任的能力的相关证明：具有独立承担民事责任能力的法人、其他组织或自然人，并出具合法有效的营业执照或事业单位 法人证书等国家规定的相关证明，自然人参与的提供其身份证明</w:t>
      </w:r>
    </w:p>
    <w:p>
      <w:pPr>
        <w:pStyle w:val="null3"/>
      </w:pPr>
      <w:r>
        <w:rPr>
          <w:rFonts w:ascii="仿宋_GB2312" w:hAnsi="仿宋_GB2312" w:cs="仿宋_GB2312" w:eastAsia="仿宋_GB2312"/>
        </w:rPr>
        <w:t>2、供应商资质：供应商须具备卫生行政部门颁发的《医疗机构执业许可证》</w:t>
      </w:r>
    </w:p>
    <w:p>
      <w:pPr>
        <w:pStyle w:val="null3"/>
      </w:pPr>
      <w:r>
        <w:rPr>
          <w:rFonts w:ascii="仿宋_GB2312" w:hAnsi="仿宋_GB2312" w:cs="仿宋_GB2312" w:eastAsia="仿宋_GB2312"/>
        </w:rPr>
        <w:t>3、供应商授权合法的人参加采购：法定代表人直接参加的，须提交法定代表人身份证原件。法定代表人授权代表参加的，须出具法 定代表人授权书及授权代表身份证明</w:t>
      </w:r>
    </w:p>
    <w:p>
      <w:pPr>
        <w:pStyle w:val="null3"/>
      </w:pPr>
      <w:r>
        <w:rPr>
          <w:rFonts w:ascii="仿宋_GB2312" w:hAnsi="仿宋_GB2312" w:cs="仿宋_GB2312" w:eastAsia="仿宋_GB2312"/>
        </w:rPr>
        <w:t>4、财务状况报告：提供2023或2024年度的财务审计报告(至少包括资产负债表和利润表，或其基本存款账户开户银行出具的资信证明及基本存款账户开户许可</w:t>
      </w:r>
    </w:p>
    <w:p>
      <w:pPr>
        <w:pStyle w:val="null3"/>
      </w:pPr>
      <w:r>
        <w:rPr>
          <w:rFonts w:ascii="仿宋_GB2312" w:hAnsi="仿宋_GB2312" w:cs="仿宋_GB2312" w:eastAsia="仿宋_GB2312"/>
        </w:rPr>
        <w:t>5、社保缴纳证明：提供响应文件递交截止日前六个月内已缴存的至少一个月的社会保障保障资金缴存单据或社保机 构开具的社会保险参保缴费证明，依法不需要缴纳社会保障资金的单位应提供相应证明文件</w:t>
      </w:r>
    </w:p>
    <w:p>
      <w:pPr>
        <w:pStyle w:val="null3"/>
      </w:pPr>
      <w:r>
        <w:rPr>
          <w:rFonts w:ascii="仿宋_GB2312" w:hAnsi="仿宋_GB2312" w:cs="仿宋_GB2312" w:eastAsia="仿宋_GB2312"/>
        </w:rPr>
        <w:t>6、税收缴纳证明：提供响应文件递交截止日前六个月内已缴存的至少一个月的纳税证明或完税证明(时间以税款所 属日期为准税种为任意税种)，依法免税的单位应提供相关证明材料</w:t>
      </w:r>
    </w:p>
    <w:p>
      <w:pPr>
        <w:pStyle w:val="null3"/>
      </w:pPr>
      <w:r>
        <w:rPr>
          <w:rFonts w:ascii="仿宋_GB2312" w:hAnsi="仿宋_GB2312" w:cs="仿宋_GB2312" w:eastAsia="仿宋_GB2312"/>
        </w:rPr>
        <w:t>7、书面声明：提供参加政府采购活动前三年内，在经营活动中没有重大违法记录的投标响应声明书</w:t>
      </w:r>
    </w:p>
    <w:p>
      <w:pPr>
        <w:pStyle w:val="null3"/>
      </w:pPr>
      <w:r>
        <w:rPr>
          <w:rFonts w:ascii="仿宋_GB2312" w:hAnsi="仿宋_GB2312" w:cs="仿宋_GB2312" w:eastAsia="仿宋_GB2312"/>
        </w:rPr>
        <w:t>8、具有履行合同所必需的设备和专业技术能力：提供具有履行合同所必需的设备和专业技术能力的承诺</w:t>
      </w:r>
    </w:p>
    <w:p>
      <w:pPr>
        <w:pStyle w:val="null3"/>
      </w:pPr>
      <w:r>
        <w:rPr>
          <w:rFonts w:ascii="仿宋_GB2312" w:hAnsi="仿宋_GB2312" w:cs="仿宋_GB2312" w:eastAsia="仿宋_GB2312"/>
        </w:rPr>
        <w:t>9、信用查询：供应商不得为“信用中国”网站 （www.creditchina.gov.cn）中列入失信被执行人和重大 税收 违法案 件当事人名单的投标人，不得为中国政府采购网（www.ccgp.gov.cn）政府采 购严重 违法失信行为记录名单中被财政 部门禁止参加政府采购活动的投标人</w:t>
      </w:r>
    </w:p>
    <w:p>
      <w:pPr>
        <w:pStyle w:val="null3"/>
      </w:pPr>
      <w:r>
        <w:rPr>
          <w:rFonts w:ascii="仿宋_GB2312" w:hAnsi="仿宋_GB2312" w:cs="仿宋_GB2312" w:eastAsia="仿宋_GB2312"/>
        </w:rPr>
        <w:t>10、承诺函：单位负责人为同一人或者存在直接控股、管 理关系的不同投标人，不得参加同一合同项下 的政 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铜川市第一中学经办王升豪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3589823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陕西一鼎全项目咨询有限公司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陕西省铜川市印台区陕西省铜川市印台区城关街道办事处鑫光社区唐华小区一期5号楼1-201室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采购包1：527,765.00元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铜川市第一中学</w:t>
      </w:r>
      <w:r>
        <w:rPr>
          <w:rFonts w:ascii="仿宋_GB2312" w:hAnsi="仿宋_GB2312" w:cs="仿宋_GB2312" w:eastAsia="仿宋_GB2312"/>
        </w:rPr>
        <w:t>和</w:t>
      </w:r>
      <w:r>
        <w:rPr>
          <w:rFonts w:ascii="仿宋_GB2312" w:hAnsi="仿宋_GB2312" w:cs="仿宋_GB2312" w:eastAsia="仿宋_GB2312"/>
        </w:rPr>
        <w:t>陕西一鼎全项目咨询有限公司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陕西一鼎全项目咨询有限公司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陕西一鼎全项目咨询有限公司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陕西一鼎全项目咨询有限公司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陕西一鼎全项目咨询有限公司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陕西一鼎全项目咨询有限公司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地址：陕西省铜川市新区铁诺北路2号（大学生创业孵化园）</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为做好铜川市第一中学学生健康体检工作，全面了解学生的身体状况。 一、体检项目 根据《中小学生健康 体检管理办法（2021年版）》要求，体检项目如下： （一）询问既往疾病史。 （二）体检项目。 1.基本项目： 形态指 标检查：身高、体重、腰围； 内科检查：心、肺、肝、脾，血压，肺活量； 外科检查：头部、颈部、胸部、脊柱、四 肢、皮肤、淋巴结； 眼科检查：眼外观、远视力、屈光度； 口腔科检查：牙齿、牙周； 实验室检查：血常规；肝功能； 其他检查：结核菌素检测。 二、场地、物资准备及体检流程 学校指定专人负责协调对接，提供体检场地、电源，按班级 提供学生花名册。体检单位成立市一中学生健康体检工作专班，准备必要的体检用表、检查器械、试剂耗材、医废桶及医 废袋等。严格按照操作规程进行检查，确保体检结果的准确性和可靠性学生体检分为登记、测量、检查、评估和反馈等环 节进行。 三、体检结果反馈 体检单位以国家统一的体检用表形式向学校反馈学生个体健康体检结果，并由学校向学生及 其监护人反馈。体检表内容包括学生个体体检项目的客观结果、对体检结果的综合评价以及健康指导建议，以超重、肥 胖、营养不良、脊柱弯曲异常、视力不良、龋齿须作为指导的重点。我中心依法保障学生及其家庭等信息不外泄。 体检 单位以学生体检结果分析报告的形式向学校反馈学生健康体检结果。内容包括学校不同年级男女生的生长发育水平，营养 状况分布，脊柱弯曲异常、视力不良、龋齿、缺陷检出率，不同年级存在的主要健康问题以及健康指导建议。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527,765.00</w:t>
      </w:r>
    </w:p>
    <w:p>
      <w:pPr>
        <w:pStyle w:val="null3"/>
      </w:pPr>
      <w:r>
        <w:rPr>
          <w:rFonts w:ascii="仿宋_GB2312" w:hAnsi="仿宋_GB2312" w:cs="仿宋_GB2312" w:eastAsia="仿宋_GB2312"/>
        </w:rPr>
        <w:t>采购包最高限价（元）: 527,765.00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在籍学生健康体检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527,765.00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标的名称：在籍学生健康体检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一、体检项目</w:t>
            </w:r>
          </w:p>
          <w:p>
            <w:pPr>
              <w:pStyle w:val="null3"/>
            </w:pPr>
            <w:r>
              <w:rPr>
                <w:rFonts w:ascii="仿宋_GB2312" w:hAnsi="仿宋_GB2312" w:cs="仿宋_GB2312" w:eastAsia="仿宋_GB2312"/>
                <w:sz w:val="19"/>
                <w:color w:val="000000"/>
              </w:rPr>
              <w:t>根据《中小学生健康体检管理办法（</w:t>
            </w:r>
            <w:r>
              <w:rPr>
                <w:rFonts w:ascii="仿宋_GB2312" w:hAnsi="仿宋_GB2312" w:cs="仿宋_GB2312" w:eastAsia="仿宋_GB2312"/>
                <w:sz w:val="19"/>
                <w:color w:val="000000"/>
              </w:rPr>
              <w:t>2021</w:t>
            </w:r>
            <w:r>
              <w:rPr>
                <w:rFonts w:ascii="仿宋_GB2312" w:hAnsi="仿宋_GB2312" w:cs="仿宋_GB2312" w:eastAsia="仿宋_GB2312"/>
                <w:sz w:val="19"/>
                <w:color w:val="000000"/>
              </w:rPr>
              <w:t>年版）》要求，体检项目如下：</w:t>
            </w:r>
          </w:p>
          <w:p>
            <w:pPr>
              <w:pStyle w:val="null3"/>
            </w:pPr>
            <w:r>
              <w:rPr>
                <w:rFonts w:ascii="仿宋_GB2312" w:hAnsi="仿宋_GB2312" w:cs="仿宋_GB2312" w:eastAsia="仿宋_GB2312"/>
                <w:sz w:val="19"/>
                <w:color w:val="000000"/>
              </w:rPr>
              <w:t>（一）询问既往疾病史。</w:t>
            </w:r>
          </w:p>
          <w:p>
            <w:pPr>
              <w:pStyle w:val="null3"/>
            </w:pPr>
            <w:r>
              <w:rPr>
                <w:rFonts w:ascii="仿宋_GB2312" w:hAnsi="仿宋_GB2312" w:cs="仿宋_GB2312" w:eastAsia="仿宋_GB2312"/>
                <w:sz w:val="19"/>
                <w:color w:val="000000"/>
              </w:rPr>
              <w:t>（二）体检项目。</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基本项目：</w:t>
            </w:r>
          </w:p>
          <w:p>
            <w:pPr>
              <w:pStyle w:val="null3"/>
            </w:pPr>
            <w:r>
              <w:rPr>
                <w:rFonts w:ascii="仿宋_GB2312" w:hAnsi="仿宋_GB2312" w:cs="仿宋_GB2312" w:eastAsia="仿宋_GB2312"/>
                <w:sz w:val="19"/>
                <w:color w:val="000000"/>
              </w:rPr>
              <w:t>形态指标检查：身高、体重、腰围；</w:t>
            </w:r>
          </w:p>
          <w:p>
            <w:pPr>
              <w:pStyle w:val="null3"/>
            </w:pPr>
            <w:r>
              <w:rPr>
                <w:rFonts w:ascii="仿宋_GB2312" w:hAnsi="仿宋_GB2312" w:cs="仿宋_GB2312" w:eastAsia="仿宋_GB2312"/>
                <w:sz w:val="19"/>
                <w:color w:val="000000"/>
              </w:rPr>
              <w:t>内科检查：心、肺、肝、脾，血压，肺活量；</w:t>
            </w:r>
          </w:p>
          <w:p>
            <w:pPr>
              <w:pStyle w:val="null3"/>
            </w:pPr>
            <w:r>
              <w:rPr>
                <w:rFonts w:ascii="仿宋_GB2312" w:hAnsi="仿宋_GB2312" w:cs="仿宋_GB2312" w:eastAsia="仿宋_GB2312"/>
                <w:sz w:val="19"/>
                <w:color w:val="000000"/>
              </w:rPr>
              <w:t>外科检查：头部、颈部、胸部、脊柱、四肢、皮肤、淋巴结；</w:t>
            </w:r>
          </w:p>
          <w:p>
            <w:pPr>
              <w:pStyle w:val="null3"/>
            </w:pPr>
            <w:r>
              <w:rPr>
                <w:rFonts w:ascii="仿宋_GB2312" w:hAnsi="仿宋_GB2312" w:cs="仿宋_GB2312" w:eastAsia="仿宋_GB2312"/>
                <w:sz w:val="19"/>
                <w:color w:val="000000"/>
              </w:rPr>
              <w:t>眼科检查：眼外观、远视力、屈光度；</w:t>
            </w:r>
          </w:p>
          <w:p>
            <w:pPr>
              <w:pStyle w:val="null3"/>
            </w:pPr>
            <w:r>
              <w:rPr>
                <w:rFonts w:ascii="仿宋_GB2312" w:hAnsi="仿宋_GB2312" w:cs="仿宋_GB2312" w:eastAsia="仿宋_GB2312"/>
                <w:sz w:val="19"/>
                <w:color w:val="000000"/>
              </w:rPr>
              <w:t>口腔科检查：牙齿、牙周；</w:t>
            </w:r>
          </w:p>
          <w:p>
            <w:pPr>
              <w:pStyle w:val="null3"/>
            </w:pPr>
            <w:r>
              <w:rPr>
                <w:rFonts w:ascii="仿宋_GB2312" w:hAnsi="仿宋_GB2312" w:cs="仿宋_GB2312" w:eastAsia="仿宋_GB2312"/>
                <w:sz w:val="19"/>
                <w:color w:val="000000"/>
              </w:rPr>
              <w:t>实验室检查：血常规；肝功能；</w:t>
            </w:r>
          </w:p>
          <w:p>
            <w:pPr>
              <w:pStyle w:val="null3"/>
            </w:pPr>
            <w:r>
              <w:rPr>
                <w:rFonts w:ascii="仿宋_GB2312" w:hAnsi="仿宋_GB2312" w:cs="仿宋_GB2312" w:eastAsia="仿宋_GB2312"/>
                <w:sz w:val="19"/>
                <w:color w:val="000000"/>
              </w:rPr>
              <w:t>其他检查：结核菌素检测。</w:t>
            </w:r>
          </w:p>
          <w:p>
            <w:pPr>
              <w:pStyle w:val="null3"/>
            </w:pPr>
            <w:r>
              <w:rPr>
                <w:rFonts w:ascii="仿宋_GB2312" w:hAnsi="仿宋_GB2312" w:cs="仿宋_GB2312" w:eastAsia="仿宋_GB2312"/>
                <w:sz w:val="19"/>
                <w:color w:val="000000"/>
              </w:rPr>
              <w:t>二、场地、物资准备及体检流程</w:t>
            </w:r>
          </w:p>
          <w:p>
            <w:pPr>
              <w:pStyle w:val="null3"/>
            </w:pPr>
            <w:r>
              <w:rPr>
                <w:rFonts w:ascii="仿宋_GB2312" w:hAnsi="仿宋_GB2312" w:cs="仿宋_GB2312" w:eastAsia="仿宋_GB2312"/>
                <w:sz w:val="19"/>
                <w:color w:val="000000"/>
              </w:rPr>
              <w:t>学校指定专人负责协调对接，提供体检场地、电源，按班级提供学生花名册。体检单位成立市一中学</w:t>
            </w:r>
          </w:p>
          <w:p>
            <w:pPr>
              <w:pStyle w:val="null3"/>
            </w:pPr>
            <w:r>
              <w:rPr>
                <w:rFonts w:ascii="仿宋_GB2312" w:hAnsi="仿宋_GB2312" w:cs="仿宋_GB2312" w:eastAsia="仿宋_GB2312"/>
                <w:sz w:val="19"/>
                <w:color w:val="000000"/>
              </w:rPr>
              <w:t>生健康体检工作专班，准备必要的体检用表、检查器械、试剂耗材、医废桶及医废袋等。严格按照操</w:t>
            </w:r>
          </w:p>
          <w:p>
            <w:pPr>
              <w:pStyle w:val="null3"/>
            </w:pPr>
            <w:r>
              <w:rPr>
                <w:rFonts w:ascii="仿宋_GB2312" w:hAnsi="仿宋_GB2312" w:cs="仿宋_GB2312" w:eastAsia="仿宋_GB2312"/>
                <w:sz w:val="19"/>
                <w:color w:val="000000"/>
              </w:rPr>
              <w:t>作规程进行检查，确保体检结果的准确性和可靠性。</w:t>
            </w:r>
          </w:p>
          <w:p>
            <w:pPr>
              <w:pStyle w:val="null3"/>
            </w:pPr>
            <w:r>
              <w:rPr>
                <w:rFonts w:ascii="仿宋_GB2312" w:hAnsi="仿宋_GB2312" w:cs="仿宋_GB2312" w:eastAsia="仿宋_GB2312"/>
                <w:sz w:val="19"/>
                <w:color w:val="000000"/>
              </w:rPr>
              <w:t>学生体检分为登记、测量、检查、评估和反馈等环节进行。</w:t>
            </w:r>
          </w:p>
          <w:p>
            <w:pPr>
              <w:pStyle w:val="null3"/>
            </w:pPr>
            <w:r>
              <w:rPr>
                <w:rFonts w:ascii="仿宋_GB2312" w:hAnsi="仿宋_GB2312" w:cs="仿宋_GB2312" w:eastAsia="仿宋_GB2312"/>
                <w:sz w:val="19"/>
                <w:color w:val="000000"/>
              </w:rPr>
              <w:t>三、体检结果反馈</w:t>
            </w:r>
          </w:p>
          <w:p>
            <w:pPr>
              <w:pStyle w:val="null3"/>
            </w:pPr>
            <w:r>
              <w:rPr>
                <w:rFonts w:ascii="仿宋_GB2312" w:hAnsi="仿宋_GB2312" w:cs="仿宋_GB2312" w:eastAsia="仿宋_GB2312"/>
                <w:sz w:val="19"/>
                <w:color w:val="000000"/>
              </w:rPr>
              <w:t>体检单位以国家统一的体检用表形式向学校反馈学生个体健康体检结果，并由学校向学生及其监护人</w:t>
            </w:r>
          </w:p>
          <w:p>
            <w:pPr>
              <w:pStyle w:val="null3"/>
            </w:pPr>
            <w:r>
              <w:rPr>
                <w:rFonts w:ascii="仿宋_GB2312" w:hAnsi="仿宋_GB2312" w:cs="仿宋_GB2312" w:eastAsia="仿宋_GB2312"/>
                <w:sz w:val="19"/>
                <w:color w:val="000000"/>
              </w:rPr>
              <w:t>反馈。体检表内容包括学生个体体检项目的客观结果、对体检结果的综合评价以及健康指导建议，以</w:t>
            </w:r>
          </w:p>
          <w:p>
            <w:pPr>
              <w:pStyle w:val="null3"/>
            </w:pPr>
            <w:r>
              <w:rPr>
                <w:rFonts w:ascii="仿宋_GB2312" w:hAnsi="仿宋_GB2312" w:cs="仿宋_GB2312" w:eastAsia="仿宋_GB2312"/>
                <w:sz w:val="19"/>
                <w:color w:val="000000"/>
              </w:rPr>
              <w:t>超重、肥胖、营养不良、脊柱弯曲异常、视力不良、龋齿须作为指导的重点。我中心依法保障学生及</w:t>
            </w:r>
          </w:p>
          <w:p>
            <w:pPr>
              <w:pStyle w:val="null3"/>
            </w:pPr>
            <w:r>
              <w:rPr>
                <w:rFonts w:ascii="仿宋_GB2312" w:hAnsi="仿宋_GB2312" w:cs="仿宋_GB2312" w:eastAsia="仿宋_GB2312"/>
                <w:sz w:val="19"/>
                <w:color w:val="000000"/>
              </w:rPr>
              <w:t>其家庭等信息不外泄。</w:t>
            </w:r>
          </w:p>
          <w:p>
            <w:pPr>
              <w:pStyle w:val="null3"/>
            </w:pPr>
            <w:r>
              <w:rPr>
                <w:rFonts w:ascii="仿宋_GB2312" w:hAnsi="仿宋_GB2312" w:cs="仿宋_GB2312" w:eastAsia="仿宋_GB2312"/>
                <w:sz w:val="19"/>
                <w:color w:val="000000"/>
              </w:rPr>
              <w:t>体检单位以学生体检结果分析报告的形式向学校反馈学生健康体检结果。内容包括学校不同年级男女</w:t>
            </w:r>
          </w:p>
          <w:p>
            <w:pPr>
              <w:pStyle w:val="null3"/>
            </w:pPr>
            <w:r>
              <w:rPr>
                <w:rFonts w:ascii="仿宋_GB2312" w:hAnsi="仿宋_GB2312" w:cs="仿宋_GB2312" w:eastAsia="仿宋_GB2312"/>
                <w:sz w:val="19"/>
                <w:color w:val="000000"/>
              </w:rPr>
              <w:t>生的生长发育水平，营养状况分布，脊柱弯曲异常、视力不良、龋齿、缺陷检出率，不同年级存在的</w:t>
            </w:r>
          </w:p>
          <w:p>
            <w:pPr>
              <w:pStyle w:val="null3"/>
            </w:pPr>
            <w:r>
              <w:rPr>
                <w:rFonts w:ascii="仿宋_GB2312" w:hAnsi="仿宋_GB2312" w:cs="仿宋_GB2312" w:eastAsia="仿宋_GB2312"/>
                <w:sz w:val="19"/>
                <w:color w:val="000000"/>
              </w:rPr>
              <w:t>主要健康问题以及健康指导建议。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见服务要求及评分标准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体检单位以学生体检结果分析报告的形式向学校反馈学生健康体检结果。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体检完成后提交体检报告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1.成交供应商须提交纸质版投标文件（胶装）：正本壹份、副本壹份、电子版壹份（U盘、标明投标人名称），电子版文件包含Word版本和PDF版本。 2.纸质版文件递交时间：中标结果公告公示期结束后。 3.纸质版文件递交：陕西省铜川市新区铁诺北路2号（大学生创业孵化园）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 法人证书等国家规定的相关证明，自然人参与的提供其身份证明</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供应商须具备卫生行政部门颁发的《医疗机构执业许可证》</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供应商授权合法的人参加采购</w:t>
            </w:r>
          </w:p>
        </w:tc>
        <w:tc>
          <w:tcPr>
            <w:tcW w:type="dxa" w:w="3322"/>
          </w:tcPr>
          <w:p>
            <w:pPr>
              <w:pStyle w:val="null3"/>
            </w:pPr>
            <w:r>
              <w:rPr>
                <w:rFonts w:ascii="仿宋_GB2312" w:hAnsi="仿宋_GB2312" w:cs="仿宋_GB2312" w:eastAsia="仿宋_GB2312"/>
              </w:rPr>
              <w:t>法定代表人直接参加的，须提交法定代表人身份证原件。法定代表人授权代表参加的，须出具法 定代表人授权书及授权代表身份证明</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提供2023或2024年度的财务审计报告(至少包括资产负债表和利润表，或其基本存款账户开户银行出具的资信证明及基本存款账户开户许可</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提供响应文件递交截止日前六个月内已缴存的至少一个月的社会保障保障资金缴存单据或社保机 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提供响应文件递交截止日前六个月内已缴存的至少一个月的纳税证明或完税证明(时间以税款所 属日期为准税种为任意税种)，依法免税的单位应提供相关证明材料</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 （www.creditchina.gov.cn）中列入失信被执行人和重大 税收 违法案 件当事人名单的投标人，不得为中国政府采购网（www.ccgp.gov.cn）政府采 购严重 违法失信行为记录名单中被财政 部门禁止参加政府采购活动的投标人</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 理关系的不同投标人，不得参加同一合同项下 的政 府采购活动；</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响应文件必须由法定代表人或其授权代理人签字并加盖公章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 “响应文件格式”的要求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一份响应文件只有一个响应报价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截止开标之日起90日历日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投标报价有选择性报价或者投标报价重新计算后超过本项目采购预算或者最高限价的;B、供应商未经过正常渠道领取采购文件或供应商名称与领取采购文件时登记的供应商名称不符的;C、供应商针对同一项目递交两份或多份内容不同的投标文件，未书面声明哪一份是有效的或出现选择性报价的;D、提供虚假资质、虚假资料、虚假证明(包括第三方提供的虚假证明);出现虚假应答、承诺、声明的，除按无效投标文件处理外，还将按照政府采购的有关规定进行处罚;E、供应商在商务响应方面附加了采购单位难以接受的条件或条款的;F、在政府采购或其它重大项目履约过程中有不良记录或未能按期履约的;G、供应商使用虚假印章或印章无法证实为真实有效;H、报价子目出现漏项或报价与要求不符的;1、提供虚假技术性能指标。J、实质性内容不满足、未完全未响应招标要求或擅自改动采 购清单的;K、投标文件的关键内容字迹模糊 、无法辨认的;L、不符合法律、法规规定的其它实质性要求的。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一、评审内容：根据供应商提供的服务方案主要从以下方面进行评分(包括但不限于): （1 ）体检流程;（2）体检发现疾病的后续服务;（3）投诉处理流程;（4）隐私保护措施; 二 、评审标准 1、完整性：方案必须全面，对评审内容中的各项要求有详细描述； 2、可实 施性：切合本项目实际情况，提出步骤清晰、合理的方案； 3、针对性：方案能够紧扣项 目实际情况，内容科学合理。三、赋分标准（满分24分）评分标准:（1）体检流程；根据 评审标准赋分0-6分，满分6分；（2）体检发现疾病的后续服务;根据评审标准赋分0-6分 ，满分6分；（3）投诉处理流程;根据评审标准赋分0-6分，满分6分；（4）隐私保护措 施;根据评审标准赋分0-6分，满分6分；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一、评审内容：根据项目实际情况，针对本项目提出适用于本项目的保密方案，方案包括: （1）保密措施（2）保密制度； 二、评审标准 1、完整性：方案必须全面，对评审内容 中的各项要求有详细描述； 2、可实施性：切合本项目实际情况，提出步骤清晰、合理的 方案； 3、针对性：方案能够紧扣项目实际情况，内容科学合理。 三、赋分标准（满分1 6分）（1）保密措施，根据评审标准赋分0-8分，满分8分；（2）保密制度；根据评审标 准赋分0-8分，满分8分；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一、评审内容：供应商根据在体检过程中可能发生的特殊情况(如被体检人晕针、晕血、 低血糖、仪器伤害等)制定具有可操作性的应急处置措施。二、评审标准 1、完整性：方案 必须全面，对评审内容中的各项要求有详细描述； 2、可实施性：切合本项目实际情况， 提出步骤清晰、合理的方案；三、赋分标准（满分5分）根据评审标准赋分0-5分。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一、评审内容 根据项目实际需要，提供质量保证方案，方案包括:（1）现场指引服务；（ 2）绿色就医通道服务（3）体检流程安排（4）独立体检环境场所 二、评分标准: 1.内容 详细全面；2.架构完整、层次清楚、完善可行；三、赋分标准（满分24分）（1）现场指 引服务；根据评审标准赋分0-6分，满分6分；（2）绿色就医通道服务；根据评审标准赋 分0-6分，满分6分；（3）体检流程安排；根据评审标准赋分0-6分，满分6分；（4）独 立体检环境场所根据评审标准赋分0-6分，满分6分；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一、评审内容：供应商根据体检要求配备医生、护士。二、评审标准 ：人员配备完整、合 理，满足体检服务要求； 三、赋分标准（满分5分）根据评审标准赋分0-5分。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提供近三年类似项目业绩(以合同复印件为准)，每提供一份业绩得2分，最高得6分。若提 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(2)满足磋商文件实质性要求且最终报价最低的供应商的价格为磋商基准价，其价格分为满分20分。(3)磋商报价得分=(磋商基准价/最终磋商报价)x20。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