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版本号：FHZB-202500520251110001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铜川市五里镇河及沮河流域水环境提升与水生态修复项目工程监理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FHZB-2025005</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铜川市五里镇河及沮河流域水环境提升与水生态修复项目工程监理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FHZB-2025005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铜川市五里镇河及沮河流域水环境提升与水生态修复项目工程监理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五里镇河及沮河流域水环境提升与水生态修复项目工程主要内容为：主要对五里镇河及沮河流域开展水环境提升与水生态修复，建设水岸贯通带共计11.156km(其中沮河流域4.256km、五里镇河流域6.9km),并在各河段开展生态缓冲带水生植被恢复，改善流域水环境质量，提升生态系统稳定性。本项目为铜川市五里镇河及沮河流域水环境提升与水生态修复项目工程监理，内容包含铜川市五里镇河及沮河流域水环境提升与水生态修复项目工程施工、交竣工、缺陷责任期范围内的全部监理服务工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采购包1（铜川市五里镇河及沮河流域水环境提升与水生态修复项目工程监理）：属于专门面向中小企业采购。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如授权代表投标需提供法定代表人授权委托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2、营业执照等主体资格证明文件：具有独立承担民事责任的能力，提供法人或者其他组织的营业执照等国家规定的证明文件，自然人参与的提供其身份证明；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3、财务状况报告：提供2023或2024任一年度经审计的财务审计报告(2025年成立的公司提供成立后企业的资产负债表和利润表），或提供响应文件递交截止之日前三个月内基本存款账户开户银行开具的资信证明；</w:t>
      </w:r>
    </w:p>
    <w:p>
      <w:pPr>
        <w:pStyle w:val="null3"/>
      </w:pPr>
      <w:r>
        <w:rPr>
          <w:rFonts w:ascii="仿宋_GB2312" w:hAnsi="仿宋_GB2312" w:cs="仿宋_GB2312" w:eastAsia="仿宋_GB2312"/>
        </w:rPr>
        <w:t>4、税收缴纳证明：提供2024年11月01日至今任意一个月的缴纳税收的证明材料,(依法免税的单位应提供相关证明材料)；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5、社会保障资金缴纳证明：提供2024年11月01日至今任意一个月的依法缴纳社会保障资金的证明材料（依法不需要缴纳社会保障资金的单位应提供相关证明材料）；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7、企业关联关系：单位负责人为同一人或者存在直接控股、管理关系的不同供应商不得同时参加本项目磋商；</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9、履约能力：出具具备履行合同所必需的设备和专业技术能力的书面声明；</w:t>
      </w:r>
    </w:p>
    <w:p>
      <w:pPr>
        <w:pStyle w:val="null3"/>
      </w:pPr>
      <w:r>
        <w:rPr>
          <w:rFonts w:ascii="仿宋_GB2312" w:hAnsi="仿宋_GB2312" w:cs="仿宋_GB2312" w:eastAsia="仿宋_GB2312"/>
        </w:rPr>
        <w:t>10、企业资质：供应商须具备工程监理综合资质或市政公用工程专业监理乙级（含乙级）及以上资质，并在人员、设备、资金等方面具备相应的能力；</w:t>
      </w:r>
    </w:p>
    <w:p>
      <w:pPr>
        <w:pStyle w:val="null3"/>
      </w:pPr>
      <w:r>
        <w:rPr>
          <w:rFonts w:ascii="仿宋_GB2312" w:hAnsi="仿宋_GB2312" w:cs="仿宋_GB2312" w:eastAsia="仿宋_GB2312"/>
        </w:rPr>
        <w:t>11、拟派总监理工程师：拟派项目总监理工程师须具备市政公用工程专业国家注册监理工程师执业资格，在本单位注册，且未担任其他在建工程项目的总监理工程师。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18329998557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按照中标金额*1.4%收取。可以采取现金、支票、银行汇票、电汇、网银等方式，中标/成交投标人在中标（成交）结果公告发布之日起5日内，向招标代理机构缴纳招标代理服务费/中标（成交）服务费。 开户名称：陕西凡华建设项目管理有限公司，开户行：中国农业银行股份有限公司西安长丰园小区支行，银行账户：26110201040016041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一次性验收7）履约验收时间：供应商提出验收申请之日起7日内组织验收；8）验收组织的其他事项：双方合同签订时约定；9）履约验收标准：按照《中华人民共和国民法典》、《建设工程监理规范》、《建筑法》及国家、陕西省、铜川市颁布现行的与监理工作有关的法律、法规、标准、规范和规程，采购人将根据中标供应商实际工作内容及成果进行考核验收，中标供应商所提供的服务内容和质量需满足磋商文件中提出的基本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联系电话：18329998557</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五里镇河及沮河流域水环境提升与水生态修复项目工程主要内容为：主要对五里镇河及沮河流域开展水环境提升与水生态修复，建设水岸贯通带共计11.156km(其中沮河流域4.256km、五里镇河流域6.9km),并在各河段开展生态缓冲带水生植被恢复，改善流域水环境质量，提升生态系统稳定性。本项目为铜川市五里镇河及沮河流域水环境提升与水生态修复项目工程监理，内容包含铜川市五里镇河及沮河流域水环境提升与水生态修复项目工程施工、交竣工、缺陷责任期范围内的全部监理服务工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921,300.00</w:t>
      </w:r>
    </w:p>
    <w:p>
      <w:pPr>
        <w:pStyle w:val="null3"/>
      </w:pPr>
      <w:r>
        <w:rPr>
          <w:rFonts w:ascii="仿宋_GB2312" w:hAnsi="仿宋_GB2312" w:cs="仿宋_GB2312" w:eastAsia="仿宋_GB2312"/>
        </w:rPr>
        <w:t>采购包最高限价（元）: 921,300.00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铜川市五里镇河及沮河流域水环境提升与水生态修复项目工程监理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标的名称：铜川市五里镇河及沮河流域水环境提升与水生态修复项目工程监理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铜川市五里镇河及沮河流域水环境提升与水生态修复项目主要是对五里镇河及沮河流域开展水环境提升与水生态修复，建设水岸贯通带共计11.156km(其中沮河流域4.256km、五里镇河流域6.9km),并在各河段开展生态缓冲带水生植被恢复:改善流域水环境质量，提升生态系统稳定性。具体内容为:(一)沮河流域生态修复工程：教场坪段流域生态修复工程:建设水岸贯通带2.421km，开展生态缓冲带水生植被恢复;梨园村至前河段流域生态修复工程:建设水岸贯通带1.186km，开展生态缓冲带水生植被恢复;蔡河村至柳林村段流域生态修复工程:建设水岸贯通带0.649km，开展生态缓冲带水生植被恢复;沮河流域临时工程:配套建设临时设施，服务流域修复施工。(二)五里镇河流域生态修复工程：上官庄至下关庄段流域生态修复工程:建设水岸贯通带2.48km，开展生态缓冲带水生植被恢复;五里镇段流域生态修复工程:建设水岸贯通带0.25km，开展生态缓冲带水生植被恢复;唐家坪至冯家河段流域生态修复工程:建设水岸贯通带4.17km，开展生态缓冲带水生植被恢复;五里镇河流域临时工程:配套建设临时设施，服务流域修复施工。</w:t>
            </w:r>
          </w:p>
          <w:p>
            <w:pPr>
              <w:pStyle w:val="null3"/>
            </w:pPr>
            <w:r>
              <w:rPr>
                <w:rFonts w:ascii="仿宋_GB2312" w:hAnsi="仿宋_GB2312" w:cs="仿宋_GB2312" w:eastAsia="仿宋_GB2312"/>
              </w:rPr>
              <w:t>二、服务内容：本项目为铜川市五里镇河及沮河流域水环境提升与水生态修复项目的工程监理，内容包含铜川市五里镇河及沮河流域水环境提升与水生态修复项目工程施工、交竣工、缺陷责任期范围内的全部监理服务工作等。</w:t>
            </w:r>
          </w:p>
          <w:p>
            <w:pPr>
              <w:pStyle w:val="null3"/>
            </w:pPr>
            <w:r>
              <w:rPr>
                <w:rFonts w:ascii="仿宋_GB2312" w:hAnsi="仿宋_GB2312" w:cs="仿宋_GB2312" w:eastAsia="仿宋_GB2312"/>
              </w:rPr>
              <w:t>工程地点：铜川市耀州区、宜君县；</w:t>
            </w:r>
          </w:p>
          <w:p>
            <w:pPr>
              <w:pStyle w:val="null3"/>
            </w:pPr>
            <w:r>
              <w:rPr>
                <w:rFonts w:ascii="仿宋_GB2312" w:hAnsi="仿宋_GB2312" w:cs="仿宋_GB2312" w:eastAsia="仿宋_GB2312"/>
              </w:rPr>
              <w:t>招标范围：铜川市五里镇河及沮河流域水环境提升与水生态修复项目工程监理，内容包含铜川市五里镇河及沮河流域水环境提升与水生态修复项目工程施工、交竣工、缺陷责任期范围内的全部监理服务工作等。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1.审查承包人各项施工准备工作，在征得委托人同意后下达开工指令。</w:t>
            </w:r>
          </w:p>
          <w:p>
            <w:pPr>
              <w:pStyle w:val="null3"/>
            </w:pPr>
            <w:r>
              <w:rPr>
                <w:rFonts w:ascii="仿宋_GB2312" w:hAnsi="仿宋_GB2312" w:cs="仿宋_GB2312" w:eastAsia="仿宋_GB2312"/>
              </w:rPr>
              <w:t>2.审查承包人编制的施工组织设计、施工方案及施工进度计划并督促其实施。 重点审査其中的质量安全技术措施、专项施工方案与工程建设强制性标准的符合性。</w:t>
            </w:r>
          </w:p>
          <w:p>
            <w:pPr>
              <w:pStyle w:val="null3"/>
            </w:pPr>
            <w:r>
              <w:rPr>
                <w:rFonts w:ascii="仿宋_GB2312" w:hAnsi="仿宋_GB2312" w:cs="仿宋_GB2312" w:eastAsia="仿宋_GB2312"/>
              </w:rPr>
              <w:t>3.审查承包人或委托人提供的材料、设备清单及其所列的规格与数量。</w:t>
            </w:r>
          </w:p>
          <w:p>
            <w:pPr>
              <w:pStyle w:val="null3"/>
            </w:pPr>
            <w:r>
              <w:rPr>
                <w:rFonts w:ascii="仿宋_GB2312" w:hAnsi="仿宋_GB2312" w:cs="仿宋_GB2312" w:eastAsia="仿宋_GB2312"/>
              </w:rPr>
              <w:t>4.督促、检查承包人严格执行合同和严格按照国家有关技术规范、标准、规程以及设计图纸、文件的要求进行施工和安装活动，督促其完善各阶段的工程技术资料。</w:t>
            </w:r>
          </w:p>
          <w:p>
            <w:pPr>
              <w:pStyle w:val="null3"/>
            </w:pPr>
            <w:r>
              <w:rPr>
                <w:rFonts w:ascii="仿宋_GB2312" w:hAnsi="仿宋_GB2312" w:cs="仿宋_GB2312" w:eastAsia="仿宋_GB2312"/>
              </w:rPr>
              <w:t>5.协助采购人组织设计交底和图纸会审会议。</w:t>
            </w:r>
          </w:p>
          <w:p>
            <w:pPr>
              <w:pStyle w:val="null3"/>
            </w:pPr>
            <w:r>
              <w:rPr>
                <w:rFonts w:ascii="仿宋_GB2312" w:hAnsi="仿宋_GB2312" w:cs="仿宋_GB2312" w:eastAsia="仿宋_GB2312"/>
              </w:rPr>
              <w:t>6.督促执行施工合同，协调委托人与承包人之间的争议。</w:t>
            </w:r>
          </w:p>
          <w:p>
            <w:pPr>
              <w:pStyle w:val="null3"/>
            </w:pPr>
            <w:r>
              <w:rPr>
                <w:rFonts w:ascii="仿宋_GB2312" w:hAnsi="仿宋_GB2312" w:cs="仿宋_GB2312" w:eastAsia="仿宋_GB2312"/>
              </w:rPr>
              <w:t>7.检查施工过程的主要部位、环节，进行隐蔽工程的施工验收签证，组织验收各分部分项工程。</w:t>
            </w:r>
          </w:p>
          <w:p>
            <w:pPr>
              <w:pStyle w:val="null3"/>
            </w:pPr>
            <w:r>
              <w:rPr>
                <w:rFonts w:ascii="仿宋_GB2312" w:hAnsi="仿宋_GB2312" w:cs="仿宋_GB2312" w:eastAsia="仿宋_GB2312"/>
              </w:rPr>
              <w:t>8.审核用于工程的主要设备材料、构件、成品的出厂合格证和试验报告等质量证明，禁止不合格的材料、构件等在工程上使用。</w:t>
            </w:r>
          </w:p>
          <w:p>
            <w:pPr>
              <w:pStyle w:val="null3"/>
            </w:pPr>
            <w:r>
              <w:rPr>
                <w:rFonts w:ascii="仿宋_GB2312" w:hAnsi="仿宋_GB2312" w:cs="仿宋_GB2312" w:eastAsia="仿宋_GB2312"/>
              </w:rPr>
              <w:t>9.审查承包人编制的工程进度计划，检查、签收承包人填报的工程计划及进 度报表，随时提出监理意见，控制工程进度的实施。</w:t>
            </w:r>
          </w:p>
          <w:p>
            <w:pPr>
              <w:pStyle w:val="null3"/>
            </w:pPr>
            <w:r>
              <w:rPr>
                <w:rFonts w:ascii="仿宋_GB2312" w:hAnsi="仿宋_GB2312" w:cs="仿宋_GB2312" w:eastAsia="仿宋_GB2312"/>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pPr>
            <w:r>
              <w:rPr>
                <w:rFonts w:ascii="仿宋_GB2312" w:hAnsi="仿宋_GB2312" w:cs="仿宋_GB2312" w:eastAsia="仿宋_GB2312"/>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pPr>
            <w:r>
              <w:rPr>
                <w:rFonts w:ascii="仿宋_GB2312" w:hAnsi="仿宋_GB2312" w:cs="仿宋_GB2312" w:eastAsia="仿宋_GB2312"/>
              </w:rPr>
              <w:t>12.监督检查承包人的管理制度、质量保证体系、文明施工及安全生产保证体系。</w:t>
            </w:r>
          </w:p>
          <w:p>
            <w:pPr>
              <w:pStyle w:val="null3"/>
            </w:pPr>
            <w:r>
              <w:rPr>
                <w:rFonts w:ascii="仿宋_GB2312" w:hAnsi="仿宋_GB2312" w:cs="仿宋_GB2312" w:eastAsia="仿宋_GB2312"/>
              </w:rPr>
              <w:t>13.协助委托人召集设计部门、承包人分析及处理工程质量事故，监督处理方案的实施，并进行质量验收。</w:t>
            </w:r>
          </w:p>
          <w:p>
            <w:pPr>
              <w:pStyle w:val="null3"/>
            </w:pPr>
            <w:r>
              <w:rPr>
                <w:rFonts w:ascii="仿宋_GB2312" w:hAnsi="仿宋_GB2312" w:cs="仿宋_GB2312" w:eastAsia="仿宋_GB2312"/>
              </w:rPr>
              <w:t>14.根据需要定期组织工程现场协调会，协调有关工程问题，并出具会议纪要。</w:t>
            </w:r>
          </w:p>
          <w:p>
            <w:pPr>
              <w:pStyle w:val="null3"/>
            </w:pPr>
            <w:r>
              <w:rPr>
                <w:rFonts w:ascii="仿宋_GB2312" w:hAnsi="仿宋_GB2312" w:cs="仿宋_GB2312" w:eastAsia="仿宋_GB2312"/>
              </w:rPr>
              <w:t>15.根据承包人提出的整体工程竣工验收申请报告，负责组织竣工初验，签署由承包人提出的竣工验收报告；协助委托人组织工程竣工验收，并提供工程项目 施工阶段质量评估意见；监理工作完成后，监理人应提交一份监理工作总结供委托人存档。</w:t>
            </w:r>
          </w:p>
          <w:p>
            <w:pPr>
              <w:pStyle w:val="null3"/>
            </w:pPr>
            <w:r>
              <w:rPr>
                <w:rFonts w:ascii="仿宋_GB2312" w:hAnsi="仿宋_GB2312" w:cs="仿宋_GB2312" w:eastAsia="仿宋_GB2312"/>
              </w:rPr>
              <w:t>16.配合工程预、结算，根据工程施工承包合同的具体约定，对工程结算进行审核与签证，并提出竣工结算审核意见书。</w:t>
            </w:r>
          </w:p>
          <w:p>
            <w:pPr>
              <w:pStyle w:val="null3"/>
            </w:pPr>
            <w:r>
              <w:rPr>
                <w:rFonts w:ascii="仿宋_GB2312" w:hAnsi="仿宋_GB2312" w:cs="仿宋_GB2312" w:eastAsia="仿宋_GB2312"/>
              </w:rPr>
              <w:t>17.编制、整理工程监理归档文件并报委托人。</w:t>
            </w:r>
          </w:p>
          <w:p>
            <w:pPr>
              <w:pStyle w:val="null3"/>
            </w:pPr>
            <w:r>
              <w:rPr>
                <w:rFonts w:ascii="仿宋_GB2312" w:hAnsi="仿宋_GB2312" w:cs="仿宋_GB2312" w:eastAsia="仿宋_GB2312"/>
              </w:rPr>
              <w:t>18.其他依法应由监理履行的职责。</w:t>
            </w:r>
          </w:p>
          <w:p>
            <w:pPr>
              <w:pStyle w:val="null3"/>
            </w:pPr>
            <w:r>
              <w:rPr>
                <w:rFonts w:ascii="仿宋_GB2312" w:hAnsi="仿宋_GB2312" w:cs="仿宋_GB2312" w:eastAsia="仿宋_GB2312"/>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pPr>
            <w:r>
              <w:rPr>
                <w:rFonts w:ascii="仿宋_GB2312" w:hAnsi="仿宋_GB2312" w:cs="仿宋_GB2312" w:eastAsia="仿宋_GB2312"/>
              </w:rPr>
              <w:t>所有监理资料必须及时整理、真实完整、分类有序。</w:t>
            </w:r>
          </w:p>
          <w:p>
            <w:pPr>
              <w:pStyle w:val="null3"/>
            </w:pPr>
            <w:r>
              <w:rPr>
                <w:rFonts w:ascii="仿宋_GB2312" w:hAnsi="仿宋_GB2312" w:cs="仿宋_GB2312" w:eastAsia="仿宋_GB2312"/>
              </w:rPr>
              <w:t>四、服务期限：</w:t>
            </w:r>
            <w:r>
              <w:rPr>
                <w:rFonts w:ascii="仿宋_GB2312" w:hAnsi="仿宋_GB2312" w:cs="仿宋_GB2312" w:eastAsia="仿宋_GB2312"/>
              </w:rPr>
              <w:t>完成项目施工阶段全过程和保修阶段的全部监理工作内容</w:t>
            </w:r>
            <w:r>
              <w:rPr>
                <w:rFonts w:ascii="仿宋_GB2312" w:hAnsi="仿宋_GB2312" w:cs="仿宋_GB2312" w:eastAsia="仿宋_GB2312"/>
              </w:rPr>
              <w:t>；</w:t>
            </w:r>
          </w:p>
          <w:p>
            <w:pPr>
              <w:pStyle w:val="null3"/>
            </w:pPr>
            <w:r>
              <w:rPr>
                <w:rFonts w:ascii="仿宋_GB2312" w:hAnsi="仿宋_GB2312" w:cs="仿宋_GB2312" w:eastAsia="仿宋_GB2312"/>
              </w:rPr>
              <w:t>五、质量标准： 达到国家、省市或相关行业规范“合格”标准要求。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供应商须具备履行合同所必需的专业设施设备。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供应商须具备履行合同所必需的资金能力。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服务期限：完成项目施工阶段全过程和保修阶段的全部监理工作内容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铜川市耀州区、宜君县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按照《中华人民共和国民法典》、《建设工程监理规范》、《建筑法》及国家、陕西省、铜川市颁布现行的与监理工作有关的法律、法规、标准、规范和规程，采购人将根据中标供应商实际工作内容及成果进行考核验收，中标供应商所提供的服务内容和质量需满足磋商文件中提出的基本要求。二、验收依据：（1）合同文本及合同补充文件（条款）。（2）磋商文件。（3）响应文件。三、验收方法：1、供应商提出验收申请，采购人及时组织验收，验收合格后出具验收报告。 2、本项目应按要求完成服务全部内容，符合国家、省市相关规范及行业标准的要求。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待工程竣工验收审计合格后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待工程缺陷责任期满后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的，采购人有权终止合同，并对中标供应商违约行为进行追究及索赔，同时按《中华人民共和国政府采购法》及实施条例的有关规定进行处罚。（未尽事宜双方合同签订时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 (8)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 《关于进一步加大政府采购支持中小企业力度的通知》（财库〔2022〕19号）；（12） 其他需要落实的政府采购政策。 (如有最新颁布的政府采购政策，按最新的文件执行。如需享受相关政策需提供相关证明材料）。2.本项目专门面向中小企业采购，参加政府采购活动的中小微企业应当提供《中小企业声明函》。依照&lt;财政部、司法部关于政府采购支持监狱企业发展有关问题的通知&gt;（财库〔2014〕68号）之规定，在政府采购活动时，监狱企业视同小型、微型企业，供应商为监狱企业的，应当提供由省级以上监狱管理局、戒毒管理局（含新疆生产建设兵团）出具的属于监狱企业的证明文件。残疾人福利性单位视同小型、微型企业，符合条件的残疾人福利性单位在参加政府采购活动时，应当提供《财政部、民政部、中国残疾人联合会关于促进残疾人就业政府采购政策的通知》（财库〔2017〕141号）规定的《残疾人福利性单位声明函》。以上未提供相应证明或提供不符合要求的，在评审时不享受政府采购优惠政策。3.按《工业和信息化部、国家统计局、国家发展和改革委员会、财政部关于印发&lt;中小企业划型标准规定&gt;的通知》（工信部联企业【2011】300 号）文件规定，本项目所属行业为：其他未列明行业；从业人员300人以下的为中小微型企业。其中，从业人员100人及以上的为中型企业;从业人员10人及以上的为小型企业;从业人员10人以下的为微型企业。 4、为保障政府采购电子化交易平台项目实施，供应商需要在线提交所有通过电子化交易平台实施的政府采购项目的响应文件，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铜川市王益区红旗街正大国际新城C座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 负债表和利润表），或提供响应文件递交截止之日前三个月内基本存款账户开户银行开具的资 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如授权代表投标需提供法定代表人授权委托书（附法定代表人及被授权人身份证复印件），如法定代表人直接投标须提交法定代表人身份证明（附法定代表人身份证复印件）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供应商须具备工程监理综合资质或市政公用工程专业监理乙级（含乙级）及以上资质，并在人员、设备、资金等方面具备相应的能力；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拟派总监理工程师</w:t>
            </w:r>
          </w:p>
        </w:tc>
        <w:tc>
          <w:tcPr>
            <w:tcW w:type="dxa" w:w="3322"/>
          </w:tcPr>
          <w:p>
            <w:pPr>
              <w:pStyle w:val="null3"/>
            </w:pPr>
            <w:r>
              <w:rPr>
                <w:rFonts w:ascii="仿宋_GB2312" w:hAnsi="仿宋_GB2312" w:cs="仿宋_GB2312" w:eastAsia="仿宋_GB2312"/>
              </w:rPr>
              <w:t>拟派项目总监理工程师须具备市政公用工程专业国家注册监理工程师执业资格，在本单位注册，且未担任其他在建工程项目的总监理工程师。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有效性及响应性评审</w:t>
            </w:r>
          </w:p>
        </w:tc>
        <w:tc>
          <w:tcPr>
            <w:tcW w:type="dxa" w:w="3322"/>
          </w:tcPr>
          <w:p>
            <w:pPr>
              <w:pStyle w:val="null3"/>
            </w:pPr>
            <w:r>
              <w:rPr>
                <w:rFonts w:ascii="仿宋_GB2312" w:hAnsi="仿宋_GB2312" w:cs="仿宋_GB2312" w:eastAsia="仿宋_GB2312"/>
              </w:rPr>
              <w:t>（1）响应文件的签署盖章及格式：磋商文件要求必须响应的内容齐全，有格式要求的按要求提供；供应商名称需与公章名称、营业执照、资质名称一致，要求签字或盖章的，按文件规定签字或盖章齐全；（2）报价唯一：只能有一个有效报价，不得提交选择性报价，且报价不超过采购预算和最高限价；（3）服务期限、服务地点： 应满足磋商文件的要求；（4）响应有效期：应满足磋商文件中的规定；（5）其他：不能有任何采购人不能接受的附加条件。</w:t>
            </w:r>
          </w:p>
        </w:tc>
        <w:tc>
          <w:tcPr>
            <w:tcW w:type="dxa" w:w="1661"/>
          </w:tcPr>
          <w:p>
            <w:pPr>
              <w:pStyle w:val="null3"/>
            </w:pPr>
            <w:r>
              <w:rPr>
                <w:rFonts w:ascii="仿宋_GB2312" w:hAnsi="仿宋_GB2312" w:cs="仿宋_GB2312" w:eastAsia="仿宋_GB2312"/>
              </w:rPr>
              <w:t>业绩.docx 服务内容及服务邀请应答表 中小企业声明函 商务应答表 拟投入项目的检测设备、仪器一览表.docx 报价表 拟委任的主要人员及简历表.docx 响应文件封面 残疾人福利性单位声明函 拒绝政府采购领域商业贿赂承诺书.docx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针对本项目内容提出适用于本项目的监理大纲方案，包括但不限于⑴监理工作目标及监理依据；⑵质量控制措施；⑶进度控制措施；⑷投资控制措施；⑸合同管理及信息管理；⑹安全文明施工及治污减霾、应急保障措施；⑺重点部位及关键工序的控制方法；⑻监理工作流程；⑼监理工作制度；⑽监理资料的管理；⑾保修阶段的服务管理措施；⑿各方组织协调措施；二、评审标准：1、完整性：方案必须全面，对评审内容中的各项要求有详细描述及说明；2、针对性：方案能够紧扣项目实际情况，内容科学合理，有利于提高服务品质、效率，符合项目实际要求；3、可实施性：切合本项目实际情况，提出步骤清晰、合理的方案。三、赋分标准（满分54分）⑴监理工作目标及监理依据：每完全满足一项评审标准得1.5分，满分4.5分，不提供不得分。⑵质量控制措施：每完全满足一项评审标准得1.5分，满分4.5分，不提供不得分。⑶进度控制措施：每完全满足一项评审标准得1.5分，满分4.5分，不提供不得分。⑷投资控制措施：每完全满足一项评审标准得1.5分，满分4.5分，不提供不得分。⑸合同管理及信息管理：每完全满足一项评审标准得1.5分，满分4.5分，不提供不得分。⑹安全文明施工及治污减霾、应急保障措施：每完全满足一项评审标准得1.5分，满分4.5分，不提供不得分。⑺重点部位及关键工序的控制方法：每完全满足一项评审标准得1.5分，满分4.5分，不提供不得分。⑻监理工作流程：每完全满足一项评审标准得1.5分，满分4.5分，不提供不得分。⑼监理工作制度：每完全满足一项评审标准得1.5分，满分4.5分，不提供不得分。⑽监理资料的管理：每完全满足一项评审标准得1.5分，满分4.5分，不提供不得分。⑾保修阶段的服务管理措施：每完全满足一项评审标准得1.5分，满分4.5分，不提供不得分。⑿各方组织协调措施：每完全满足一项评审标准得1.5分，满分4.5分，不提供不得分。</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拟投入项目的检测设备、仪器一览表.docx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一、评审内容：针对本项目内容提出适用于本项目的拟投入人员配备方案，包括但不限于⑴拟投入人员配备明细；⑵团队人员管理制度；⑶各专业种类、岗位配置；⑷配置人员资格、职称及工作经验等；二、评审标准：1、完整性：方案必须全面，对评审内容中的各项要求有详细描述及说明；2、针对性：方案能够紧扣项目实际情况，内容科学合理，有利于提高服务品质、效率，符合项目实际要求；3、可实施性：切合本项目实际情况，提出步骤清晰、合理的方案；三、赋分标准（满分12分）⑴拟投入人员配备明细：每完全满足一项评审标准得1分，满分3分，不提供不得分。⑵团队人员管理制度：每完全满足一项评审标准得1分，满分3分，不提供不得分。⑶各专业种类、岗位配置：每完全满足一项评审标准得1分，满分3分，不提供不得分。⑷配置人员资格、职称及工作经验等; 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拟委任的主要人员及简历表.docx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一、评审内容：⑴针对本项目有具体的保密及廉洁措施；二、评审标准：1、完整性：方案必须全面，对评审内容中的各项要求有详细描述及说明；2、针对性：方案能够紧扣项目实际情况，内容科学合理，有利于提高服务品质、效率，符合项目实际要求；3、可实施性：切合本项目实际情况，提出步骤清晰、合理的方案；三、赋分标准（满分6分）⑴针对本项目有具体的保密及廉洁措施：每完全满足一项评审标准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⑴针对本项目从多个角度考虑，提出对项目实施有较强的指导作用的合理化建议；二、评审标准：1、完整性：方案必须全面，对评审内容中的各项要求有详细描述及说明；2、针对性：方案能够紧扣项目实际情况，内容科学合理，有利于提高服务品质、效率，符合项目实际要求；3、可实施性：切合本项目实际情况，提出步骤清晰、合理的方案；三、赋分标准（满分3分）⑴针对本项目从多个角度考虑，提出对项目实施有较强的指导作用的合理化建议：每完全满足一项评审标准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一、评审内容：⑴提供详细的售后服务方案，内容包括但不限于项目实施各阶段的监理措施、质量承诺、发现问题后服务响应时间、财力物力人力保证、项目追踪跟进等有利于项目质量提升的方案措施等。 二、评审标准：1、完整性：方案全面，对评审内容中的各项要求有详细描述及说明；2、可实施性：切合本项目实际情况，内容合理，步骤清晰，可操作性强；3、针对性：方案能够紧扣项目实际情况，内容科学合理，有利于提高服务品质、效率，符合项目实际要求。 三、赋分依据：（总分6分） ⑴提供详细的售后服务方案，内容包括但不限于项目实施各阶段的监理措施、质量承诺、发现问题后服务响应时间、财力物力人力保证、项目追踪跟进等有利于项目质量提升的方案措施等：每完全满足一项评审标准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2022 年01月01日至今类似项目业绩，每提供一份得3分；满分9分，以加盖单位公章的合同或协议复印件或扫描件为准，时间以合同或协议签订日期为准。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价格分采用低价优先法计算，即满足磋商文件要求且最后报价最低的供应商的价格为评标基准价，其价格分为满分。 其他供应商的价格分统一按照下列公式计算： 磋商报价得分=（评标基准价/最后磋商报价）×价格权值（即10%）×100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详见附件：拟委任的主要人员及简历表.docx</w:t>
      </w:r>
    </w:p>
    <w:p>
      <w:pPr>
        <w:pStyle w:val="null3"/>
        <w:ind w:firstLine="960"/>
      </w:pPr>
      <w:r>
        <w:rPr>
          <w:rFonts w:ascii="仿宋_GB2312" w:hAnsi="仿宋_GB2312" w:cs="仿宋_GB2312" w:eastAsia="仿宋_GB2312"/>
        </w:rPr>
        <w:t>详见附件：拟投入项目的检测设备、仪器一览表.docx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