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版本号：2025-HXCT-17020251217001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（货物类）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项目名称：</w:t>
      </w:r>
      <w:r>
        <w:rPr>
          <w:rFonts w:ascii="仿宋_GB2312" w:hAnsi="仿宋_GB2312" w:cs="仿宋_GB2312" w:eastAsia="仿宋_GB2312"/>
          <w:sz w:val="15"/>
          <w:b/>
        </w:rPr>
        <w:t>中医药传承发展示范试点液质联用仪配套科研组件项目</w:t>
      </w:r>
    </w:p>
    <w:p>
      <w:pPr>
        <w:pStyle w:val="null3"/>
        <w:jc w:val="center"/>
        <w:outlineLvl w:val="5"/>
      </w:pPr>
      <w:r>
        <w:rPr>
          <w:rFonts w:ascii="仿宋_GB2312" w:hAnsi="仿宋_GB2312" w:cs="仿宋_GB2312" w:eastAsia="仿宋_GB2312"/>
          <w:sz w:val="15"/>
          <w:b/>
        </w:rPr>
        <w:t xml:space="preserve">项目编号: </w:t>
      </w:r>
      <w:r>
        <w:rPr>
          <w:rFonts w:ascii="仿宋_GB2312" w:hAnsi="仿宋_GB2312" w:cs="仿宋_GB2312" w:eastAsia="仿宋_GB2312"/>
          <w:sz w:val="15"/>
          <w:b/>
        </w:rPr>
        <w:t>2025-HXCT-170</w:t>
      </w:r>
      <w:r>
        <w:br/>
      </w:r>
      <w:r>
        <w:br/>
      </w:r>
      <w:r>
        <w:br/>
      </w:r>
      <w:r>
        <w:br/>
      </w:r>
      <w:r>
        <w:br/>
      </w:r>
    </w:p>
    <w:p>
      <w:pPr>
        <w:pStyle w:val="null3"/>
        <w:jc w:val="center"/>
        <w:outlineLvl w:val="5"/>
      </w:pPr>
      <w:r>
        <w:rPr>
          <w:rFonts w:ascii="仿宋_GB2312" w:hAnsi="仿宋_GB2312" w:cs="仿宋_GB2312" w:eastAsia="仿宋_GB2312"/>
          <w:sz w:val="15"/>
          <w:b/>
        </w:rPr>
        <w:t>北京中医药大学孙思邈医院</w:t>
      </w:r>
    </w:p>
    <w:p>
      <w:pPr>
        <w:pStyle w:val="null3"/>
        <w:jc w:val="center"/>
        <w:outlineLvl w:val="5"/>
      </w:pPr>
      <w:r>
        <w:rPr>
          <w:rFonts w:ascii="仿宋_GB2312" w:hAnsi="仿宋_GB2312" w:cs="仿宋_GB2312" w:eastAsia="仿宋_GB2312"/>
          <w:sz w:val="15"/>
          <w:b/>
        </w:rPr>
        <w:t>华夏城投项目管理有限公司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2025年12月17日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华夏城投项目管理有限公司</w:t>
      </w:r>
      <w:r>
        <w:rPr>
          <w:rFonts w:ascii="仿宋_GB2312" w:hAnsi="仿宋_GB2312" w:cs="仿宋_GB2312" w:eastAsia="仿宋_GB2312"/>
        </w:rPr>
        <w:t>（以下简称“代理机构”）受</w:t>
      </w:r>
      <w:r>
        <w:rPr>
          <w:rFonts w:ascii="仿宋_GB2312" w:hAnsi="仿宋_GB2312" w:cs="仿宋_GB2312" w:eastAsia="仿宋_GB2312"/>
        </w:rPr>
        <w:t>北京中医药大学孙思邈医院</w:t>
      </w:r>
      <w:r>
        <w:rPr>
          <w:rFonts w:ascii="仿宋_GB2312" w:hAnsi="仿宋_GB2312" w:cs="仿宋_GB2312" w:eastAsia="仿宋_GB2312"/>
        </w:rPr>
        <w:t>委托，拟对</w:t>
      </w:r>
      <w:r>
        <w:rPr>
          <w:rFonts w:ascii="仿宋_GB2312" w:hAnsi="仿宋_GB2312" w:cs="仿宋_GB2312" w:eastAsia="仿宋_GB2312"/>
        </w:rPr>
        <w:t>中医药传承发展示范试点液质联用仪配套科研组件项目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2025-HXCT-170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中医药传承发展示范试点液质联用仪配套科研组件项目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中医药传承发展示范试点液质联用仪配套科研组件单一来源采购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1、有效的资格主体证明：供应商必须是具有独立承担民事责任能力的法人、其他组织或自然人，并出具合法有效的营业执照或事业单位法人证书等国家规定的相关证明，自然人参与的提供其身份证明；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或授权委托人资格要求：供应商为法人单位的）法定代表人亲自参加投标时，须提供本人身份证复印件；法定代表人授权他人参加投标时，须提供法定代表人委托授权书，同时提供被授权代表开标前六月内任意一个月在投标人单位的社保缴纳证明材料。（投标人为非法人单位的）投标文件中凡是需要法定代表人签字或盖章之处，非法人单位的负责人均参照执行。</w:t>
      </w:r>
    </w:p>
    <w:p>
      <w:pPr>
        <w:pStyle w:val="null3"/>
      </w:pPr>
      <w:r>
        <w:rPr>
          <w:rFonts w:ascii="仿宋_GB2312" w:hAnsi="仿宋_GB2312" w:cs="仿宋_GB2312" w:eastAsia="仿宋_GB2312"/>
        </w:rPr>
        <w:t>3、供应商信用要求：供应商未被“信用中国”网站（www.creditchina.gov.cn）列入失信被执行人和重大税收违法失信主体，未被中国政府采购网（www.ccgp.gov.cn）列入政府采购严重违法失信行为记录名单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4、财务状况报告：提供经审计的2024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p>
      <w:pPr>
        <w:pStyle w:val="null3"/>
      </w:pPr>
      <w:r>
        <w:rPr>
          <w:rFonts w:ascii="仿宋_GB2312" w:hAnsi="仿宋_GB2312" w:cs="仿宋_GB2312" w:eastAsia="仿宋_GB2312"/>
        </w:rPr>
        <w:t>5、社会保障资金缴纳证明：提供2024年12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p>
      <w:pPr>
        <w:pStyle w:val="null3"/>
      </w:pPr>
      <w:r>
        <w:rPr>
          <w:rFonts w:ascii="仿宋_GB2312" w:hAnsi="仿宋_GB2312" w:cs="仿宋_GB2312" w:eastAsia="仿宋_GB2312"/>
        </w:rPr>
        <w:t>6、税收缴纳证明：提供2025年12月至今任意一个月的纳税证明或税务机关开具的完税证明，依法免税的单位应提供相关证明材料；供应商需在项目电子化交易系统中按要求提供相关证明材料并进行电子签章。</w:t>
      </w:r>
    </w:p>
    <w:p>
      <w:pPr>
        <w:pStyle w:val="null3"/>
      </w:pPr>
      <w:r>
        <w:rPr>
          <w:rFonts w:ascii="仿宋_GB2312" w:hAnsi="仿宋_GB2312" w:cs="仿宋_GB2312" w:eastAsia="仿宋_GB2312"/>
        </w:rPr>
        <w:t>7、医疗器械生产或经营资质：投标产品中如有医疗器械，投标供应商须具备以下资质要求：供应商为代理商的提供“医疗器械经营许可证”或“医疗器械经营备案凭证”（投标产品须在其经营范围内）、和生产厂家的“医疗器械生产许可证”（进口产品不需要提供医疗器械生产许可证）；供应商为生产厂家的提供“医疗器械生产许可证”；同时提供拟投产品的医疗器械注册证；</w:t>
      </w:r>
    </w:p>
    <w:p>
      <w:pPr>
        <w:pStyle w:val="null3"/>
      </w:pPr>
      <w:r>
        <w:rPr>
          <w:rFonts w:ascii="仿宋_GB2312" w:hAnsi="仿宋_GB2312" w:cs="仿宋_GB2312" w:eastAsia="仿宋_GB2312"/>
        </w:rPr>
        <w:t>8、供应商合法授权：进口产品需提供完整授权链条的产品授权书，且授权范围需包含本次采购项目内容；</w:t>
      </w:r>
    </w:p>
    <w:p>
      <w:pPr>
        <w:pStyle w:val="null3"/>
        <w:ind w:firstLine="480"/>
      </w:pPr>
      <w:r>
        <w:rPr>
          <w:rFonts w:ascii="仿宋_GB2312" w:hAnsi="仿宋_GB2312" w:cs="仿宋_GB2312" w:eastAsia="仿宋_GB2312"/>
        </w:rPr>
        <w:t>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jc w:val="left"/>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北京中医药大学孙思邈医院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陕西省铜川市新区长虹北路26号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赵文</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0919-8181243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华夏城投项目管理有限公司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陕西省西安市未央区西安经济技术开发区凤城七路长和国际D座26层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薛梅梅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029-89605595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本项目各包预算金额如下：</w:t>
            </w:r>
          </w:p>
          <w:p>
            <w:pPr>
              <w:pStyle w:val="null3"/>
            </w:pPr>
            <w:r>
              <w:rPr>
                <w:rFonts w:ascii="仿宋_GB2312" w:hAnsi="仿宋_GB2312" w:cs="仿宋_GB2312" w:eastAsia="仿宋_GB2312"/>
              </w:rPr>
              <w:t>采购包1：1,583,000.00元</w:t>
            </w:r>
            <w:r>
              <w:rPr>
                <w:rFonts w:ascii="仿宋_GB2312" w:hAnsi="仿宋_GB2312" w:cs="仿宋_GB2312" w:eastAsia="仿宋_GB2312"/>
              </w:rPr>
              <w:t>供应商的包件采购报价高于包件采购预算的，其响应文件将按无效处理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采购包1：1,583,000.00元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招标代理服务收费管理暂行办法的通知》（计价格【2002】1980号）和国家发改委办公厅颁发的《关于招标代理服务收费有关问题的通知》（发改办价格【2003】857号）文件规定标准向中标人收取招标代理服务费。 账户名称：华夏城投项目管理有限公司 开 户 行：工商银行延安南关支行 账 号：2609080309024803489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w:t>
            </w:r>
          </w:p>
          <w:p>
            <w:pPr>
              <w:pStyle w:val="null3"/>
            </w:pPr>
            <w:r>
              <w:rPr>
                <w:rFonts w:ascii="仿宋_GB2312" w:hAnsi="仿宋_GB2312" w:cs="仿宋_GB2312" w:eastAsia="仿宋_GB2312"/>
              </w:rPr>
              <w:t>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北京中医药大学孙思邈医院</w:t>
      </w:r>
      <w:r>
        <w:rPr>
          <w:rFonts w:ascii="仿宋_GB2312" w:hAnsi="仿宋_GB2312" w:cs="仿宋_GB2312" w:eastAsia="仿宋_GB2312"/>
        </w:rPr>
        <w:t>和</w:t>
      </w:r>
      <w:r>
        <w:rPr>
          <w:rFonts w:ascii="仿宋_GB2312" w:hAnsi="仿宋_GB2312" w:cs="仿宋_GB2312" w:eastAsia="仿宋_GB2312"/>
        </w:rPr>
        <w:t>华夏城投项目管理有限公司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享有。对采购文件中供应商参加本次政府采购活动应当具备的条件、项目技术、服务、商务及其他要求，评审标准由采购人负责解释。除上述采购文件内容，其他内容由</w:t>
      </w:r>
      <w:r>
        <w:rPr>
          <w:rFonts w:ascii="仿宋_GB2312" w:hAnsi="仿宋_GB2312" w:cs="仿宋_GB2312" w:eastAsia="仿宋_GB2312"/>
        </w:rPr>
        <w:t>华夏城投项目管理有限公司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北京中医药大学孙思邈医院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华夏城投项目管理有限公司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 xml:space="preserve"> 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（五）协商办法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三、响应文件报价出现前后不一致的，按照第五章要求进行修正。修正后的报价经供应商通过项目电子化交易系统进行确认，并加盖供应商（法定名称）电子印章，供应商未在规定时间内报价的，其响应无效。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二、供应商应按照客户端操作要求，对应采购文件的每项资格、符合性要求，逐一对应进行响应；未逐一对应进行响应或者响应内容不符合采购文件对应项的要求的，其响应文件作无效处理。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 xml:space="preserve"> 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华夏城投项目管理有限公司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中医药传承发展示范试点液质联用仪配套科研组件单一来源采购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1,583,000.00</w:t>
      </w:r>
    </w:p>
    <w:p>
      <w:pPr>
        <w:pStyle w:val="null3"/>
      </w:pPr>
      <w:r>
        <w:rPr>
          <w:rFonts w:ascii="仿宋_GB2312" w:hAnsi="仿宋_GB2312" w:cs="仿宋_GB2312" w:eastAsia="仿宋_GB2312"/>
        </w:rPr>
        <w:t>采购包最高限价（元）: 1,583,000.00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蛋白组学分析软件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210,000.00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纳流电喷雾离子源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纳流液相色谱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998,000.00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液质联用仪电路板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125,000.00</w:t>
            </w:r>
          </w:p>
        </w:tc>
        <w:tc>
          <w:tcPr>
            <w:tcW w:type="dxa" w:w="831"/>
          </w:tcPr>
          <w:p>
            <w:pPr>
              <w:pStyle w:val="null3"/>
            </w:pPr>
            <w:r>
              <w:rPr>
                <w:rFonts w:ascii="仿宋_GB2312" w:hAnsi="仿宋_GB2312" w:cs="仿宋_GB2312" w:eastAsia="仿宋_GB2312"/>
              </w:rPr>
              <w:t>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标的名称：蛋白组学分析软件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1.软件需可兼容Thermo Fisher Scientific高分辨质谱仪。</w:t>
            </w:r>
          </w:p>
          <w:p>
            <w:pPr>
              <w:pStyle w:val="null3"/>
              <w:jc w:val="left"/>
            </w:pPr>
            <w:r>
              <w:rPr>
                <w:rFonts w:ascii="仿宋_GB2312" w:hAnsi="仿宋_GB2312" w:cs="仿宋_GB2312" w:eastAsia="仿宋_GB2312"/>
                <w:sz w:val="28"/>
              </w:rPr>
              <w:t>2.软件需使用Sequest搜索引擎，可以解析来自各种裂解技术（CID、HCD、 ETD）的MSⁿ数据，配合蛋白质数据库用于进行高通量的蛋白质鉴定。</w:t>
            </w:r>
          </w:p>
          <w:p>
            <w:pPr>
              <w:pStyle w:val="null3"/>
              <w:jc w:val="left"/>
            </w:pPr>
            <w:r>
              <w:rPr>
                <w:rFonts w:ascii="仿宋_GB2312" w:hAnsi="仿宋_GB2312" w:cs="仿宋_GB2312" w:eastAsia="仿宋_GB2312"/>
                <w:sz w:val="28"/>
              </w:rPr>
              <w:t>3.软件需具有包括蛋白质ID，翻译后修饰（磷酸化、乙酰化等）位点，肽段序列及序列覆盖度，谱图匹配，鉴定结果可信度打分等功能。</w:t>
            </w:r>
          </w:p>
          <w:p>
            <w:pPr>
              <w:pStyle w:val="null3"/>
              <w:jc w:val="left"/>
            </w:pPr>
            <w:r>
              <w:rPr>
                <w:rFonts w:ascii="仿宋_GB2312" w:hAnsi="仿宋_GB2312" w:cs="仿宋_GB2312" w:eastAsia="仿宋_GB2312"/>
                <w:sz w:val="28"/>
              </w:rPr>
              <w:t>4.软件需可处理同位素标记的蛋白质组学定量数据包括SILAC标记、iTRAQ标记和TMT标记，给出不同样本间同一蛋白质的相对定量结果数据。</w:t>
            </w:r>
          </w:p>
          <w:p>
            <w:pPr>
              <w:pStyle w:val="null3"/>
              <w:jc w:val="left"/>
            </w:pPr>
            <w:r>
              <w:rPr>
                <w:rFonts w:ascii="仿宋_GB2312" w:hAnsi="仿宋_GB2312" w:cs="仿宋_GB2312" w:eastAsia="仿宋_GB2312"/>
                <w:sz w:val="28"/>
              </w:rPr>
              <w:t xml:space="preserve">5.软件需可处理非同位素标记定量数据（Label Free </w:t>
            </w:r>
            <w:r>
              <w:rPr>
                <w:rFonts w:ascii="仿宋_GB2312" w:hAnsi="仿宋_GB2312" w:cs="仿宋_GB2312" w:eastAsia="仿宋_GB2312"/>
                <w:sz w:val="28"/>
              </w:rPr>
              <w:t>Quantification）。</w:t>
            </w:r>
          </w:p>
          <w:p>
            <w:pPr>
              <w:pStyle w:val="null3"/>
              <w:jc w:val="left"/>
            </w:pPr>
            <w:r>
              <w:rPr>
                <w:rFonts w:ascii="仿宋_GB2312" w:hAnsi="仿宋_GB2312" w:cs="仿宋_GB2312" w:eastAsia="仿宋_GB2312"/>
                <w:sz w:val="28"/>
              </w:rPr>
              <w:t>6.软件需可进行统计学类分析，包括柱状图、饼图、韦恩图、火山图、分层聚类热图等。</w:t>
            </w:r>
          </w:p>
        </w:tc>
      </w:tr>
    </w:tbl>
    <w:p>
      <w:pPr>
        <w:pStyle w:val="null3"/>
      </w:pPr>
      <w:r>
        <w:rPr>
          <w:rFonts w:ascii="仿宋_GB2312" w:hAnsi="仿宋_GB2312" w:cs="仿宋_GB2312" w:eastAsia="仿宋_GB2312"/>
        </w:rPr>
        <w:t>标的名称：纳流电喷雾离子源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1.流量范围：50 nL/min-500 nL/min；</w:t>
            </w:r>
          </w:p>
          <w:p>
            <w:pPr>
              <w:pStyle w:val="null3"/>
              <w:jc w:val="left"/>
            </w:pPr>
            <w:r>
              <w:rPr>
                <w:rFonts w:ascii="仿宋_GB2312" w:hAnsi="仿宋_GB2312" w:cs="仿宋_GB2312" w:eastAsia="仿宋_GB2312"/>
                <w:sz w:val="28"/>
              </w:rPr>
              <w:t>2.离子源类型：喷嘴：5-50 μm，能够产生高效的离子化。适用于分析微量样品；</w:t>
            </w:r>
          </w:p>
          <w:p>
            <w:pPr>
              <w:pStyle w:val="null3"/>
              <w:jc w:val="left"/>
            </w:pPr>
            <w:r>
              <w:rPr>
                <w:rFonts w:ascii="仿宋_GB2312" w:hAnsi="仿宋_GB2312" w:cs="仿宋_GB2312" w:eastAsia="仿宋_GB2312"/>
                <w:sz w:val="28"/>
              </w:rPr>
              <w:t>3.喷雾模式：1-5 μA；</w:t>
            </w:r>
          </w:p>
          <w:p>
            <w:pPr>
              <w:pStyle w:val="null3"/>
              <w:jc w:val="left"/>
            </w:pPr>
            <w:r>
              <w:rPr>
                <w:rFonts w:ascii="仿宋_GB2312" w:hAnsi="仿宋_GB2312" w:cs="仿宋_GB2312" w:eastAsia="仿宋_GB2312"/>
                <w:sz w:val="28"/>
              </w:rPr>
              <w:t>4.样品体积：满足微量样品注入量。</w:t>
            </w:r>
          </w:p>
        </w:tc>
      </w:tr>
    </w:tbl>
    <w:p>
      <w:pPr>
        <w:pStyle w:val="null3"/>
      </w:pPr>
      <w:r>
        <w:rPr>
          <w:rFonts w:ascii="仿宋_GB2312" w:hAnsi="仿宋_GB2312" w:cs="仿宋_GB2312" w:eastAsia="仿宋_GB2312"/>
        </w:rPr>
        <w:t>标的名称：纳流液相色谱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1.纳流泵：</w:t>
            </w:r>
          </w:p>
          <w:p>
            <w:pPr>
              <w:pStyle w:val="null3"/>
              <w:jc w:val="left"/>
            </w:pPr>
            <w:r>
              <w:rPr>
                <w:rFonts w:ascii="仿宋_GB2312" w:hAnsi="仿宋_GB2312" w:cs="仿宋_GB2312" w:eastAsia="仿宋_GB2312"/>
                <w:sz w:val="28"/>
              </w:rPr>
              <w:t>1.1泵型及工作原理：带主动流量控制的高压二元梯度泵；</w:t>
            </w:r>
          </w:p>
          <w:p>
            <w:pPr>
              <w:pStyle w:val="null3"/>
              <w:jc w:val="left"/>
            </w:pPr>
            <w:r>
              <w:rPr>
                <w:rFonts w:ascii="仿宋_GB2312" w:hAnsi="仿宋_GB2312" w:cs="仿宋_GB2312" w:eastAsia="仿宋_GB2312"/>
                <w:sz w:val="28"/>
              </w:rPr>
              <w:t>1.2</w:t>
            </w:r>
            <w:r>
              <w:rPr>
                <w:rFonts w:ascii="仿宋_GB2312" w:hAnsi="仿宋_GB2312" w:cs="仿宋_GB2312" w:eastAsia="仿宋_GB2312"/>
                <w:sz w:val="28"/>
              </w:rPr>
              <w:t>最大</w:t>
            </w:r>
            <w:r>
              <w:rPr>
                <w:rFonts w:ascii="仿宋_GB2312" w:hAnsi="仿宋_GB2312" w:cs="仿宋_GB2312" w:eastAsia="仿宋_GB2312"/>
                <w:sz w:val="28"/>
              </w:rPr>
              <w:t>压力：</w:t>
            </w:r>
            <w:r>
              <w:rPr>
                <w:rFonts w:ascii="仿宋_GB2312" w:hAnsi="仿宋_GB2312" w:cs="仿宋_GB2312" w:eastAsia="仿宋_GB2312"/>
                <w:sz w:val="28"/>
              </w:rPr>
              <w:t>≥</w:t>
            </w:r>
            <w:r>
              <w:rPr>
                <w:rFonts w:ascii="仿宋_GB2312" w:hAnsi="仿宋_GB2312" w:cs="仿宋_GB2312" w:eastAsia="仿宋_GB2312"/>
                <w:sz w:val="28"/>
              </w:rPr>
              <w:t>150 MPa；</w:t>
            </w:r>
          </w:p>
          <w:p>
            <w:pPr>
              <w:pStyle w:val="null3"/>
              <w:jc w:val="left"/>
            </w:pPr>
            <w:r>
              <w:rPr>
                <w:rFonts w:ascii="仿宋_GB2312" w:hAnsi="仿宋_GB2312" w:cs="仿宋_GB2312" w:eastAsia="仿宋_GB2312"/>
                <w:sz w:val="28"/>
              </w:rPr>
              <w:t xml:space="preserve">1.3可设定流速范围：1 nL/min–100 </w:t>
            </w:r>
            <w:r>
              <w:rPr>
                <w:rFonts w:ascii="仿宋_GB2312" w:hAnsi="仿宋_GB2312" w:cs="仿宋_GB2312" w:eastAsia="仿宋_GB2312"/>
                <w:sz w:val="28"/>
              </w:rPr>
              <w:t>µ</w:t>
            </w:r>
            <w:r>
              <w:rPr>
                <w:rFonts w:ascii="仿宋_GB2312" w:hAnsi="仿宋_GB2312" w:cs="仿宋_GB2312" w:eastAsia="仿宋_GB2312"/>
                <w:sz w:val="28"/>
              </w:rPr>
              <w:t>L/min,</w:t>
            </w:r>
            <w:r>
              <w:rPr>
                <w:rFonts w:ascii="仿宋_GB2312" w:hAnsi="仿宋_GB2312" w:cs="仿宋_GB2312" w:eastAsia="仿宋_GB2312"/>
                <w:sz w:val="28"/>
              </w:rPr>
              <w:t>≦</w:t>
            </w:r>
            <w:r>
              <w:rPr>
                <w:rFonts w:ascii="仿宋_GB2312" w:hAnsi="仿宋_GB2312" w:cs="仿宋_GB2312" w:eastAsia="仿宋_GB2312"/>
                <w:sz w:val="28"/>
              </w:rPr>
              <w:t>1 nL 增量；</w:t>
            </w:r>
          </w:p>
          <w:p>
            <w:pPr>
              <w:pStyle w:val="null3"/>
              <w:jc w:val="left"/>
            </w:pPr>
            <w:r>
              <w:rPr>
                <w:rFonts w:ascii="仿宋_GB2312" w:hAnsi="仿宋_GB2312" w:cs="仿宋_GB2312" w:eastAsia="仿宋_GB2312"/>
                <w:sz w:val="28"/>
              </w:rPr>
              <w:t>1.5泵溶剂通道：</w:t>
            </w:r>
            <w:r>
              <w:rPr>
                <w:rFonts w:ascii="仿宋_GB2312" w:hAnsi="仿宋_GB2312" w:cs="仿宋_GB2312" w:eastAsia="仿宋_GB2312"/>
                <w:sz w:val="28"/>
              </w:rPr>
              <w:t>≥</w:t>
            </w:r>
            <w:r>
              <w:rPr>
                <w:rFonts w:ascii="仿宋_GB2312" w:hAnsi="仿宋_GB2312" w:cs="仿宋_GB2312" w:eastAsia="仿宋_GB2312"/>
                <w:sz w:val="28"/>
              </w:rPr>
              <w:t>2 个；</w:t>
            </w:r>
          </w:p>
          <w:p>
            <w:pPr>
              <w:pStyle w:val="null3"/>
              <w:jc w:val="left"/>
            </w:pPr>
            <w:r>
              <w:rPr>
                <w:rFonts w:ascii="仿宋_GB2312" w:hAnsi="仿宋_GB2312" w:cs="仿宋_GB2312" w:eastAsia="仿宋_GB2312"/>
                <w:sz w:val="28"/>
              </w:rPr>
              <w:t>1.6泵对系统梯度的延迟体积：</w:t>
            </w:r>
            <w:r>
              <w:rPr>
                <w:rFonts w:ascii="仿宋_GB2312" w:hAnsi="仿宋_GB2312" w:cs="仿宋_GB2312" w:eastAsia="仿宋_GB2312"/>
                <w:sz w:val="28"/>
              </w:rPr>
              <w:t>≦</w:t>
            </w:r>
            <w:r>
              <w:rPr>
                <w:rFonts w:ascii="仿宋_GB2312" w:hAnsi="仿宋_GB2312" w:cs="仿宋_GB2312" w:eastAsia="仿宋_GB2312"/>
                <w:sz w:val="28"/>
              </w:rPr>
              <w:t>25 nL；</w:t>
            </w:r>
          </w:p>
          <w:p>
            <w:pPr>
              <w:pStyle w:val="null3"/>
              <w:jc w:val="left"/>
            </w:pPr>
            <w:r>
              <w:rPr>
                <w:rFonts w:ascii="仿宋_GB2312" w:hAnsi="仿宋_GB2312" w:cs="仿宋_GB2312" w:eastAsia="仿宋_GB2312"/>
                <w:sz w:val="28"/>
              </w:rPr>
              <w:t>1.7生物兼容性：兼容；</w:t>
            </w:r>
          </w:p>
          <w:p>
            <w:pPr>
              <w:pStyle w:val="null3"/>
              <w:jc w:val="left"/>
            </w:pPr>
            <w:r>
              <w:rPr>
                <w:rFonts w:ascii="仿宋_GB2312" w:hAnsi="仿宋_GB2312" w:cs="仿宋_GB2312" w:eastAsia="仿宋_GB2312"/>
                <w:sz w:val="28"/>
              </w:rPr>
              <w:t>1.8梯度延迟体积：</w:t>
            </w:r>
            <w:r>
              <w:rPr>
                <w:rFonts w:ascii="仿宋_GB2312" w:hAnsi="仿宋_GB2312" w:cs="仿宋_GB2312" w:eastAsia="仿宋_GB2312"/>
                <w:sz w:val="28"/>
              </w:rPr>
              <w:t>≦</w:t>
            </w:r>
            <w:r>
              <w:rPr>
                <w:rFonts w:ascii="仿宋_GB2312" w:hAnsi="仿宋_GB2312" w:cs="仿宋_GB2312" w:eastAsia="仿宋_GB2312"/>
                <w:sz w:val="28"/>
              </w:rPr>
              <w:t xml:space="preserve">0.5 </w:t>
            </w:r>
            <w:r>
              <w:rPr>
                <w:rFonts w:ascii="仿宋_GB2312" w:hAnsi="仿宋_GB2312" w:cs="仿宋_GB2312" w:eastAsia="仿宋_GB2312"/>
                <w:sz w:val="28"/>
              </w:rPr>
              <w:t>µ</w:t>
            </w:r>
            <w:r>
              <w:rPr>
                <w:rFonts w:ascii="仿宋_GB2312" w:hAnsi="仿宋_GB2312" w:cs="仿宋_GB2312" w:eastAsia="仿宋_GB2312"/>
                <w:sz w:val="28"/>
              </w:rPr>
              <w:t>L ；</w:t>
            </w:r>
          </w:p>
          <w:p>
            <w:pPr>
              <w:pStyle w:val="null3"/>
              <w:jc w:val="left"/>
            </w:pPr>
            <w:r>
              <w:rPr>
                <w:rFonts w:ascii="仿宋_GB2312" w:hAnsi="仿宋_GB2312" w:cs="仿宋_GB2312" w:eastAsia="仿宋_GB2312"/>
                <w:sz w:val="28"/>
              </w:rPr>
              <w:t>1.9pH范围：2-10；</w:t>
            </w:r>
          </w:p>
          <w:p>
            <w:pPr>
              <w:pStyle w:val="null3"/>
              <w:jc w:val="left"/>
            </w:pPr>
            <w:r>
              <w:rPr>
                <w:rFonts w:ascii="仿宋_GB2312" w:hAnsi="仿宋_GB2312" w:cs="仿宋_GB2312" w:eastAsia="仿宋_GB2312"/>
                <w:sz w:val="28"/>
              </w:rPr>
              <w:t>1.10用户界面:系统监控；直接系统控制；在系统中诊断和故障排除；远程访问；</w:t>
            </w:r>
          </w:p>
          <w:p>
            <w:pPr>
              <w:pStyle w:val="null3"/>
              <w:jc w:val="left"/>
            </w:pPr>
            <w:r>
              <w:rPr>
                <w:rFonts w:ascii="仿宋_GB2312" w:hAnsi="仿宋_GB2312" w:cs="仿宋_GB2312" w:eastAsia="仿宋_GB2312"/>
                <w:sz w:val="28"/>
              </w:rPr>
              <w:t>1.11安全</w:t>
            </w:r>
            <w:r>
              <w:rPr>
                <w:rFonts w:ascii="仿宋_GB2312" w:hAnsi="仿宋_GB2312" w:cs="仿宋_GB2312" w:eastAsia="仿宋_GB2312"/>
                <w:sz w:val="28"/>
              </w:rPr>
              <w:t>要求</w:t>
            </w:r>
            <w:r>
              <w:rPr>
                <w:rFonts w:ascii="仿宋_GB2312" w:hAnsi="仿宋_GB2312" w:cs="仿宋_GB2312" w:eastAsia="仿宋_GB2312"/>
                <w:sz w:val="28"/>
              </w:rPr>
              <w:t>：内置泄漏检测和安全泄漏处理：超压监测、温度监测；</w:t>
            </w:r>
          </w:p>
          <w:p>
            <w:pPr>
              <w:pStyle w:val="null3"/>
              <w:numPr>
                <w:ilvl w:val="0"/>
                <w:numId w:val="1"/>
              </w:numPr>
              <w:jc w:val="left"/>
            </w:pPr>
            <w:r>
              <w:rPr>
                <w:rFonts w:ascii="仿宋_GB2312" w:hAnsi="仿宋_GB2312" w:cs="仿宋_GB2312" w:eastAsia="仿宋_GB2312"/>
                <w:sz w:val="28"/>
              </w:rPr>
              <w:t>自动进样器：</w:t>
            </w:r>
          </w:p>
          <w:p>
            <w:pPr>
              <w:pStyle w:val="null3"/>
              <w:jc w:val="left"/>
            </w:pPr>
            <w:r>
              <w:rPr>
                <w:rFonts w:ascii="仿宋_GB2312" w:hAnsi="仿宋_GB2312" w:cs="仿宋_GB2312" w:eastAsia="仿宋_GB2312"/>
                <w:sz w:val="28"/>
              </w:rPr>
              <w:t>2.1</w:t>
            </w:r>
            <w:r>
              <w:rPr>
                <w:rFonts w:ascii="仿宋_GB2312" w:hAnsi="仿宋_GB2312" w:cs="仿宋_GB2312" w:eastAsia="仿宋_GB2312"/>
                <w:sz w:val="28"/>
              </w:rPr>
              <w:t>进样体积范围：</w:t>
            </w:r>
            <w:r>
              <w:rPr>
                <w:rFonts w:ascii="仿宋_GB2312" w:hAnsi="仿宋_GB2312" w:cs="仿宋_GB2312" w:eastAsia="仿宋_GB2312"/>
                <w:sz w:val="28"/>
              </w:rPr>
              <w:t>0.01–25 μL, 步长</w:t>
            </w:r>
            <w:r>
              <w:rPr>
                <w:rFonts w:ascii="仿宋_GB2312" w:hAnsi="仿宋_GB2312" w:cs="仿宋_GB2312" w:eastAsia="仿宋_GB2312"/>
                <w:sz w:val="28"/>
              </w:rPr>
              <w:t>≦</w:t>
            </w:r>
            <w:r>
              <w:rPr>
                <w:rFonts w:ascii="仿宋_GB2312" w:hAnsi="仿宋_GB2312" w:cs="仿宋_GB2312" w:eastAsia="仿宋_GB2312"/>
                <w:sz w:val="28"/>
              </w:rPr>
              <w:t xml:space="preserve"> </w:t>
            </w:r>
            <w:r>
              <w:rPr>
                <w:rFonts w:ascii="仿宋_GB2312" w:hAnsi="仿宋_GB2312" w:cs="仿宋_GB2312" w:eastAsia="仿宋_GB2312"/>
                <w:sz w:val="28"/>
              </w:rPr>
              <w:t>0.01 μL ；</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2</w:t>
            </w:r>
            <w:r>
              <w:rPr>
                <w:rFonts w:ascii="仿宋_GB2312" w:hAnsi="仿宋_GB2312" w:cs="仿宋_GB2312" w:eastAsia="仿宋_GB2312"/>
                <w:sz w:val="28"/>
              </w:rPr>
              <w:t>自动进样器控温：</w:t>
            </w:r>
            <w:r>
              <w:rPr>
                <w:rFonts w:ascii="仿宋_GB2312" w:hAnsi="仿宋_GB2312" w:cs="仿宋_GB2312" w:eastAsia="仿宋_GB2312"/>
                <w:sz w:val="28"/>
              </w:rPr>
              <w:t>4–40 °C, 在 &lt;80% 相对湿度下，低于环境温度 ≥23 K；</w:t>
            </w:r>
          </w:p>
          <w:p>
            <w:pPr>
              <w:pStyle w:val="null3"/>
              <w:jc w:val="left"/>
            </w:pPr>
            <w:r>
              <w:rPr>
                <w:rFonts w:ascii="仿宋_GB2312" w:hAnsi="仿宋_GB2312" w:cs="仿宋_GB2312" w:eastAsia="仿宋_GB2312"/>
                <w:sz w:val="28"/>
              </w:rPr>
              <w:t>2.</w:t>
            </w:r>
            <w:r>
              <w:rPr>
                <w:rFonts w:ascii="仿宋_GB2312" w:hAnsi="仿宋_GB2312" w:cs="仿宋_GB2312" w:eastAsia="仿宋_GB2312"/>
                <w:sz w:val="28"/>
              </w:rPr>
              <w:t>3</w:t>
            </w:r>
            <w:r>
              <w:rPr>
                <w:rFonts w:ascii="仿宋_GB2312" w:hAnsi="仿宋_GB2312" w:cs="仿宋_GB2312" w:eastAsia="仿宋_GB2312"/>
                <w:sz w:val="28"/>
              </w:rPr>
              <w:t>样品盘温度稳定性：</w:t>
            </w:r>
            <w:r>
              <w:rPr>
                <w:rFonts w:ascii="仿宋_GB2312" w:hAnsi="仿宋_GB2312" w:cs="仿宋_GB2312" w:eastAsia="仿宋_GB2312"/>
                <w:sz w:val="28"/>
              </w:rPr>
              <w:t>≦</w:t>
            </w:r>
            <w:r>
              <w:rPr>
                <w:rFonts w:ascii="仿宋_GB2312" w:hAnsi="仿宋_GB2312" w:cs="仿宋_GB2312" w:eastAsia="仿宋_GB2312"/>
                <w:sz w:val="28"/>
              </w:rPr>
              <w:t>±1 °C；</w:t>
            </w:r>
          </w:p>
          <w:p>
            <w:pPr>
              <w:pStyle w:val="null3"/>
              <w:jc w:val="left"/>
            </w:pPr>
            <w:r>
              <w:rPr>
                <w:rFonts w:ascii="仿宋_GB2312" w:hAnsi="仿宋_GB2312" w:cs="仿宋_GB2312" w:eastAsia="仿宋_GB2312"/>
                <w:sz w:val="28"/>
              </w:rPr>
              <w:t>2.3样品盘和容量：</w:t>
            </w:r>
            <w:r>
              <w:rPr>
                <w:rFonts w:ascii="仿宋_GB2312" w:hAnsi="仿宋_GB2312" w:cs="仿宋_GB2312" w:eastAsia="仿宋_GB2312"/>
                <w:sz w:val="28"/>
              </w:rPr>
              <w:t>≥</w:t>
            </w:r>
            <w:r>
              <w:rPr>
                <w:rFonts w:ascii="仿宋_GB2312" w:hAnsi="仿宋_GB2312" w:cs="仿宋_GB2312" w:eastAsia="仿宋_GB2312"/>
                <w:sz w:val="28"/>
              </w:rPr>
              <w:t>1.5ml</w:t>
            </w:r>
            <w:r>
              <w:rPr>
                <w:rFonts w:ascii="仿宋_GB2312" w:hAnsi="仿宋_GB2312" w:cs="仿宋_GB2312" w:eastAsia="仿宋_GB2312"/>
                <w:sz w:val="28"/>
              </w:rPr>
              <w:t>*</w:t>
            </w:r>
            <w:r>
              <w:rPr>
                <w:rFonts w:ascii="仿宋_GB2312" w:hAnsi="仿宋_GB2312" w:cs="仿宋_GB2312" w:eastAsia="仿宋_GB2312"/>
                <w:sz w:val="28"/>
              </w:rPr>
              <w:t>21</w:t>
            </w:r>
            <w:r>
              <w:rPr>
                <w:rFonts w:ascii="仿宋_GB2312" w:hAnsi="仿宋_GB2312" w:cs="仿宋_GB2312" w:eastAsia="仿宋_GB2312"/>
                <w:sz w:val="28"/>
              </w:rPr>
              <w:t>5</w:t>
            </w:r>
            <w:r>
              <w:rPr>
                <w:rFonts w:ascii="仿宋_GB2312" w:hAnsi="仿宋_GB2312" w:cs="仿宋_GB2312" w:eastAsia="仿宋_GB2312"/>
                <w:sz w:val="28"/>
              </w:rPr>
              <w:t>个</w:t>
            </w:r>
            <w:r>
              <w:rPr>
                <w:rFonts w:ascii="仿宋_GB2312" w:hAnsi="仿宋_GB2312" w:cs="仿宋_GB2312" w:eastAsia="仿宋_GB2312"/>
                <w:sz w:val="28"/>
              </w:rPr>
              <w:t>；</w:t>
            </w:r>
          </w:p>
          <w:p>
            <w:pPr>
              <w:pStyle w:val="null3"/>
              <w:jc w:val="left"/>
            </w:pPr>
            <w:r>
              <w:rPr>
                <w:rFonts w:ascii="仿宋_GB2312" w:hAnsi="仿宋_GB2312" w:cs="仿宋_GB2312" w:eastAsia="仿宋_GB2312"/>
                <w:sz w:val="28"/>
              </w:rPr>
              <w:t>2.4可支持96孔板和384孔板；</w:t>
            </w:r>
          </w:p>
          <w:p>
            <w:pPr>
              <w:pStyle w:val="null3"/>
              <w:jc w:val="left"/>
            </w:pPr>
            <w:r>
              <w:rPr>
                <w:rFonts w:ascii="仿宋_GB2312" w:hAnsi="仿宋_GB2312" w:cs="仿宋_GB2312" w:eastAsia="仿宋_GB2312"/>
                <w:sz w:val="28"/>
              </w:rPr>
              <w:t>2.6自动进样器溶液：</w:t>
            </w:r>
            <w:r>
              <w:rPr>
                <w:rFonts w:ascii="仿宋_GB2312" w:hAnsi="仿宋_GB2312" w:cs="仿宋_GB2312" w:eastAsia="仿宋_GB2312"/>
                <w:sz w:val="28"/>
              </w:rPr>
              <w:t>≥</w:t>
            </w:r>
            <w:r>
              <w:rPr>
                <w:rFonts w:ascii="仿宋_GB2312" w:hAnsi="仿宋_GB2312" w:cs="仿宋_GB2312" w:eastAsia="仿宋_GB2312"/>
                <w:sz w:val="28"/>
              </w:rPr>
              <w:t>4个洗针液：内外针洗，强弱各一；</w:t>
            </w:r>
          </w:p>
          <w:p>
            <w:pPr>
              <w:pStyle w:val="null3"/>
              <w:jc w:val="left"/>
            </w:pPr>
            <w:r>
              <w:rPr>
                <w:rFonts w:ascii="仿宋_GB2312" w:hAnsi="仿宋_GB2312" w:cs="仿宋_GB2312" w:eastAsia="仿宋_GB2312"/>
                <w:sz w:val="28"/>
              </w:rPr>
              <w:t>2.7瓶底检测：有, 带有样品瓶底部检测和推荐样品瓶，可以吸取3</w:t>
            </w:r>
            <w:r>
              <w:rPr>
                <w:rFonts w:ascii="仿宋_GB2312" w:hAnsi="仿宋_GB2312" w:cs="仿宋_GB2312" w:eastAsia="仿宋_GB2312"/>
                <w:sz w:val="28"/>
              </w:rPr>
              <w:t>µ</w:t>
            </w:r>
            <w:r>
              <w:rPr>
                <w:rFonts w:ascii="仿宋_GB2312" w:hAnsi="仿宋_GB2312" w:cs="仿宋_GB2312" w:eastAsia="仿宋_GB2312"/>
                <w:sz w:val="28"/>
              </w:rPr>
              <w:t>L中的2.5</w:t>
            </w:r>
            <w:r>
              <w:rPr>
                <w:rFonts w:ascii="仿宋_GB2312" w:hAnsi="仿宋_GB2312" w:cs="仿宋_GB2312" w:eastAsia="仿宋_GB2312"/>
                <w:sz w:val="28"/>
              </w:rPr>
              <w:t>µ</w:t>
            </w:r>
            <w:r>
              <w:rPr>
                <w:rFonts w:ascii="仿宋_GB2312" w:hAnsi="仿宋_GB2312" w:cs="仿宋_GB2312" w:eastAsia="仿宋_GB2312"/>
                <w:sz w:val="28"/>
              </w:rPr>
              <w:t>L；</w:t>
            </w:r>
          </w:p>
          <w:p>
            <w:pPr>
              <w:pStyle w:val="null3"/>
              <w:jc w:val="left"/>
            </w:pPr>
            <w:r>
              <w:rPr>
                <w:rFonts w:ascii="仿宋_GB2312" w:hAnsi="仿宋_GB2312" w:cs="仿宋_GB2312" w:eastAsia="仿宋_GB2312"/>
                <w:sz w:val="28"/>
              </w:rPr>
              <w:t>2.8主动压力监测；</w:t>
            </w:r>
          </w:p>
          <w:p>
            <w:pPr>
              <w:pStyle w:val="null3"/>
              <w:jc w:val="left"/>
            </w:pPr>
            <w:r>
              <w:rPr>
                <w:rFonts w:ascii="仿宋_GB2312" w:hAnsi="仿宋_GB2312" w:cs="仿宋_GB2312" w:eastAsia="仿宋_GB2312"/>
                <w:sz w:val="28"/>
              </w:rPr>
              <w:t>2.9进样方式：带loop环内联的直接进样；</w:t>
            </w:r>
          </w:p>
          <w:p>
            <w:pPr>
              <w:pStyle w:val="null3"/>
              <w:jc w:val="left"/>
            </w:pPr>
            <w:r>
              <w:rPr>
                <w:rFonts w:ascii="仿宋_GB2312" w:hAnsi="仿宋_GB2312" w:cs="仿宋_GB2312" w:eastAsia="仿宋_GB2312"/>
                <w:sz w:val="28"/>
              </w:rPr>
              <w:t>2.10带有离线loop环的直接进样；</w:t>
            </w:r>
          </w:p>
          <w:p>
            <w:pPr>
              <w:pStyle w:val="null3"/>
              <w:jc w:val="left"/>
            </w:pPr>
            <w:r>
              <w:rPr>
                <w:rFonts w:ascii="仿宋_GB2312" w:hAnsi="仿宋_GB2312" w:cs="仿宋_GB2312" w:eastAsia="仿宋_GB2312"/>
                <w:sz w:val="28"/>
              </w:rPr>
              <w:t>2.11进样，带有反吹或前冲洗脱；</w:t>
            </w:r>
          </w:p>
          <w:p>
            <w:pPr>
              <w:pStyle w:val="null3"/>
              <w:jc w:val="left"/>
            </w:pPr>
            <w:r>
              <w:rPr>
                <w:rFonts w:ascii="仿宋_GB2312" w:hAnsi="仿宋_GB2312" w:cs="仿宋_GB2312" w:eastAsia="仿宋_GB2312"/>
                <w:sz w:val="28"/>
              </w:rPr>
              <w:t>3.柱温箱：</w:t>
            </w:r>
          </w:p>
          <w:p>
            <w:pPr>
              <w:pStyle w:val="null3"/>
              <w:jc w:val="left"/>
            </w:pPr>
            <w:r>
              <w:rPr>
                <w:rFonts w:ascii="仿宋_GB2312" w:hAnsi="仿宋_GB2312" w:cs="仿宋_GB2312" w:eastAsia="仿宋_GB2312"/>
                <w:sz w:val="28"/>
              </w:rPr>
              <w:t>3.1温控范围：最低: 高于室温5 K，最高: 安装六通阀60℃；</w:t>
            </w:r>
          </w:p>
          <w:p>
            <w:pPr>
              <w:pStyle w:val="null3"/>
              <w:jc w:val="left"/>
            </w:pPr>
            <w:r>
              <w:rPr>
                <w:rFonts w:ascii="仿宋_GB2312" w:hAnsi="仿宋_GB2312" w:cs="仿宋_GB2312" w:eastAsia="仿宋_GB2312"/>
                <w:sz w:val="28"/>
              </w:rPr>
              <w:t>3.2温度精度：</w:t>
            </w:r>
            <w:r>
              <w:rPr>
                <w:rFonts w:ascii="仿宋_GB2312" w:hAnsi="仿宋_GB2312" w:cs="仿宋_GB2312" w:eastAsia="仿宋_GB2312"/>
                <w:sz w:val="28"/>
              </w:rPr>
              <w:t>≦</w:t>
            </w:r>
            <w:r>
              <w:rPr>
                <w:rFonts w:ascii="仿宋_GB2312" w:hAnsi="仿宋_GB2312" w:cs="仿宋_GB2312" w:eastAsia="仿宋_GB2312"/>
                <w:sz w:val="28"/>
              </w:rPr>
              <w:t>±0.1 K；</w:t>
            </w:r>
          </w:p>
          <w:p>
            <w:pPr>
              <w:pStyle w:val="null3"/>
              <w:jc w:val="left"/>
            </w:pPr>
            <w:r>
              <w:rPr>
                <w:rFonts w:ascii="仿宋_GB2312" w:hAnsi="仿宋_GB2312" w:cs="仿宋_GB2312" w:eastAsia="仿宋_GB2312"/>
                <w:sz w:val="28"/>
              </w:rPr>
              <w:t>3.3加热时间：从 35 °C 到 65 °C ±1 K</w:t>
            </w:r>
            <w:r>
              <w:rPr>
                <w:rFonts w:ascii="仿宋_GB2312" w:hAnsi="仿宋_GB2312" w:cs="仿宋_GB2312" w:eastAsia="仿宋_GB2312"/>
                <w:sz w:val="28"/>
              </w:rPr>
              <w:t>≦</w:t>
            </w:r>
            <w:r>
              <w:rPr>
                <w:rFonts w:ascii="仿宋_GB2312" w:hAnsi="仿宋_GB2312" w:cs="仿宋_GB2312" w:eastAsia="仿宋_GB2312"/>
                <w:sz w:val="28"/>
              </w:rPr>
              <w:t>12分钟；</w:t>
            </w:r>
          </w:p>
          <w:p>
            <w:pPr>
              <w:pStyle w:val="null3"/>
              <w:jc w:val="left"/>
            </w:pPr>
            <w:r>
              <w:rPr>
                <w:rFonts w:ascii="仿宋_GB2312" w:hAnsi="仿宋_GB2312" w:cs="仿宋_GB2312" w:eastAsia="仿宋_GB2312"/>
                <w:sz w:val="28"/>
              </w:rPr>
              <w:t>3.4温度准确度：</w:t>
            </w:r>
            <w:r>
              <w:rPr>
                <w:rFonts w:ascii="仿宋_GB2312" w:hAnsi="仿宋_GB2312" w:cs="仿宋_GB2312" w:eastAsia="仿宋_GB2312"/>
                <w:sz w:val="28"/>
              </w:rPr>
              <w:t>≦</w:t>
            </w:r>
            <w:r>
              <w:rPr>
                <w:rFonts w:ascii="仿宋_GB2312" w:hAnsi="仿宋_GB2312" w:cs="仿宋_GB2312" w:eastAsia="仿宋_GB2312"/>
                <w:sz w:val="28"/>
              </w:rPr>
              <w:t>±0.5 K 柱容量：最大可用线性色谱柱加上接头长度为：</w:t>
            </w:r>
            <w:r>
              <w:rPr>
                <w:rFonts w:ascii="仿宋_GB2312" w:hAnsi="仿宋_GB2312" w:cs="仿宋_GB2312" w:eastAsia="仿宋_GB2312"/>
                <w:sz w:val="28"/>
              </w:rPr>
              <w:t>≥</w:t>
            </w:r>
            <w:r>
              <w:rPr>
                <w:rFonts w:ascii="仿宋_GB2312" w:hAnsi="仿宋_GB2312" w:cs="仿宋_GB2312" w:eastAsia="仿宋_GB2312"/>
                <w:sz w:val="28"/>
              </w:rPr>
              <w:t>300 mm；</w:t>
            </w:r>
          </w:p>
        </w:tc>
      </w:tr>
    </w:tbl>
    <w:p>
      <w:pPr>
        <w:pStyle w:val="null3"/>
      </w:pPr>
      <w:r>
        <w:rPr>
          <w:rFonts w:ascii="仿宋_GB2312" w:hAnsi="仿宋_GB2312" w:cs="仿宋_GB2312" w:eastAsia="仿宋_GB2312"/>
        </w:rPr>
        <w:t>标的名称：液质联用仪电路板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rPr>
              <w:t>1.离子源加热器供电</w:t>
            </w:r>
          </w:p>
          <w:p>
            <w:pPr>
              <w:pStyle w:val="null3"/>
              <w:jc w:val="left"/>
            </w:pPr>
            <w:r>
              <w:rPr>
                <w:rFonts w:ascii="仿宋_GB2312" w:hAnsi="仿宋_GB2312" w:cs="仿宋_GB2312" w:eastAsia="仿宋_GB2312"/>
                <w:sz w:val="28"/>
              </w:rPr>
              <w:t>2.离子传输加热器供电</w:t>
            </w:r>
          </w:p>
          <w:p>
            <w:pPr>
              <w:pStyle w:val="null3"/>
              <w:jc w:val="left"/>
            </w:pPr>
            <w:r>
              <w:rPr>
                <w:rFonts w:ascii="仿宋_GB2312" w:hAnsi="仿宋_GB2312" w:cs="仿宋_GB2312" w:eastAsia="仿宋_GB2312"/>
                <w:sz w:val="28"/>
              </w:rPr>
              <w:t>3.源保护锁定</w:t>
            </w:r>
          </w:p>
          <w:p>
            <w:pPr>
              <w:pStyle w:val="null3"/>
              <w:jc w:val="left"/>
            </w:pPr>
            <w:r>
              <w:rPr>
                <w:rFonts w:ascii="仿宋_GB2312" w:hAnsi="仿宋_GB2312" w:cs="仿宋_GB2312" w:eastAsia="仿宋_GB2312"/>
                <w:sz w:val="28"/>
              </w:rPr>
              <w:t>4.内标校正单元供电</w:t>
            </w:r>
          </w:p>
          <w:p>
            <w:pPr>
              <w:pStyle w:val="null3"/>
              <w:jc w:val="left"/>
            </w:pPr>
            <w:r>
              <w:rPr>
                <w:rFonts w:ascii="仿宋_GB2312" w:hAnsi="仿宋_GB2312" w:cs="仿宋_GB2312" w:eastAsia="仿宋_GB2312"/>
                <w:sz w:val="28"/>
              </w:rPr>
              <w:t>5.加热和高压</w:t>
            </w:r>
          </w:p>
          <w:p>
            <w:pPr>
              <w:pStyle w:val="null3"/>
              <w:jc w:val="left"/>
            </w:pPr>
            <w:r>
              <w:rPr>
                <w:rFonts w:ascii="仿宋_GB2312" w:hAnsi="仿宋_GB2312" w:cs="仿宋_GB2312" w:eastAsia="仿宋_GB2312"/>
                <w:sz w:val="28"/>
              </w:rPr>
              <w:t>6.源区氮气供应</w:t>
            </w:r>
          </w:p>
          <w:p>
            <w:pPr>
              <w:pStyle w:val="null3"/>
              <w:jc w:val="left"/>
            </w:pPr>
            <w:r>
              <w:rPr>
                <w:rFonts w:ascii="仿宋_GB2312" w:hAnsi="仿宋_GB2312" w:cs="仿宋_GB2312" w:eastAsia="仿宋_GB2312"/>
                <w:sz w:val="28"/>
              </w:rPr>
              <w:t>7.右侧盖板感应</w:t>
            </w:r>
          </w:p>
          <w:p>
            <w:pPr>
              <w:pStyle w:val="null3"/>
              <w:jc w:val="left"/>
            </w:pP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8kv电源，提供喷雾电压</w:t>
            </w:r>
          </w:p>
          <w:p>
            <w:pPr>
              <w:pStyle w:val="null3"/>
              <w:jc w:val="left"/>
            </w:pPr>
            <w:r>
              <w:rPr>
                <w:rFonts w:ascii="仿宋_GB2312" w:hAnsi="仿宋_GB2312" w:cs="仿宋_GB2312" w:eastAsia="仿宋_GB2312"/>
                <w:sz w:val="28"/>
              </w:rPr>
              <w:t>9.LED供电</w:t>
            </w:r>
          </w:p>
          <w:p>
            <w:pPr>
              <w:pStyle w:val="null3"/>
              <w:jc w:val="left"/>
            </w:pPr>
            <w:r>
              <w:rPr>
                <w:rFonts w:ascii="仿宋_GB2312" w:hAnsi="仿宋_GB2312" w:cs="仿宋_GB2312" w:eastAsia="仿宋_GB2312"/>
                <w:sz w:val="28"/>
              </w:rPr>
              <w:t>10.自动识别离子源</w:t>
            </w:r>
          </w:p>
          <w:p>
            <w:pPr>
              <w:pStyle w:val="null3"/>
              <w:jc w:val="left"/>
            </w:pPr>
            <w:r>
              <w:rPr>
                <w:rFonts w:ascii="仿宋_GB2312" w:hAnsi="仿宋_GB2312" w:cs="仿宋_GB2312" w:eastAsia="仿宋_GB2312"/>
                <w:sz w:val="28"/>
              </w:rPr>
              <w:t>11氮气流量控制</w:t>
            </w:r>
          </w:p>
          <w:p>
            <w:pPr>
              <w:pStyle w:val="null3"/>
              <w:jc w:val="left"/>
            </w:pPr>
            <w:r>
              <w:rPr>
                <w:rFonts w:ascii="仿宋_GB2312" w:hAnsi="仿宋_GB2312" w:cs="仿宋_GB2312" w:eastAsia="仿宋_GB2312"/>
                <w:sz w:val="28"/>
              </w:rPr>
              <w:t>12.原厂在职工程师上门更换服务。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合同签定后30日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北京中医大大学孙思邈医院指定地点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合同签订之日起</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jc w:val="left"/>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1.验收：乙方完成供货内容后，向甲方提出验收申请，甲方接到乙方验收申请后组织验收（必要时可聘请相应专家或委托 相应部门验收），验收合格后，出具使用验收合格证明。 2、最终验收：最终验收结果作为付款依据，乙方填写验收单，并向 甲方提交实施过程中的所有资料（包含但不限于产品合格证、保修卡、注册证、使用说明、培训记录），以便甲方日后管理和 维护。 3、验收依据：合同文本、合同附件、单一来源谈判文件、单一来源谈判响应文件、国内/国外相应的标准、规范。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ind w:firstLine="480"/>
        <w:jc w:val="left"/>
      </w:pPr>
      <w:r>
        <w:rPr>
          <w:rFonts w:ascii="仿宋_GB2312" w:hAnsi="仿宋_GB2312" w:cs="仿宋_GB2312" w:eastAsia="仿宋_GB2312"/>
        </w:rPr>
        <w:t xml:space="preserve">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质保期为验收合格后12个月（具体设备有明确质保服务要求的，从其约定），期间存在任何故障由乙方负责维修或更换，并承担全部费用（配件、人工费、运输费、更换等全部费用）。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1、按《中华人民共和国民法典》以及相关法律的条款执行。 2、乙方履约延误 2- 1、如乙方事先未征得甲方同意并得到 甲方的谅解而单方面延迟执行合同，每延误一天的赔偿费按合同金额的百分之零点五 （0.5%）计收。误期赔偿费的最高限额 为合同价格的百分之五（5%）。一旦达到误期赔偿费的最高限额，甲方可终止合 同。 2-2、在履行合同过程中，如果乙方遇 到可能妨碍按时提供产品服务的情况，应及时以书面形式将拖延的事实，可能拖 延的期限和理由通知甲方。甲方在收到乙方 通 知后，应尽快对情况进行评价，并确定是否通过修改合同，酌情延长服务时间 -第14页- 或对乙方加收误期赔偿金。每延误 一周的赔偿费 按合同金额的百分之零点五（0.5%）计收，直至提供服务为止。误期赔偿费 的最高限额为合同价格的百分之 五（5%）。一 旦达到误期赔偿费的最高限额，甲方可终止合同。 3、违约终止合同：未按合 同要求提供相应数量产品服务 或不能满足技术要 求以及不合格产品等违约行为，甲方会同监督机构有权终止合同，对乙方违 约行为进行追究，乙方须退回 甲方前期支付的费 用，同时支付合同金额5%的赔偿金，不足以弥补损失的，据实增加赔偿金 额，并按政府采购法的有关规 定进行相应的处罚。 4、本合同履行过程中，如因乙方违约，甲方提起诉讼的，乙方应当承担甲 方为实现权利而产生的费 用，包括但不限于诉讼 费、律师费、鉴定费、评估费等费用。</w:t>
      </w:r>
    </w:p>
    <w:p>
      <w:pPr>
        <w:pStyle w:val="null3"/>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中标单位领取成交通知书时需提交一正一副纸质版投标文件。纸质版投标文件需与电子版投标文件一致，不得修改。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有效的资格主体证明</w:t>
            </w:r>
          </w:p>
        </w:tc>
        <w:tc>
          <w:tcPr>
            <w:tcW w:type="dxa" w:w="3322"/>
          </w:tcPr>
          <w:p>
            <w:pPr>
              <w:pStyle w:val="null3"/>
            </w:pPr>
            <w:r>
              <w:rPr>
                <w:rFonts w:ascii="仿宋_GB2312" w:hAnsi="仿宋_GB2312" w:cs="仿宋_GB2312" w:eastAsia="仿宋_GB2312"/>
              </w:rPr>
              <w:t>供应商必须是具有独立承担民事责任能力的法人、其他组织或自然人，并出具合法有效的营业执照或事业单位法人证书等国家规定的相关证明，自然人参与的提供其身份证明；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中小企业声明函 残疾人福利性单位声明函 供应商应提交的相关资格证明材料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法定代表人或授权委托人资格要求</w:t>
            </w:r>
          </w:p>
        </w:tc>
        <w:tc>
          <w:tcPr>
            <w:tcW w:type="dxa" w:w="3322"/>
          </w:tcPr>
          <w:p>
            <w:pPr>
              <w:pStyle w:val="null3"/>
            </w:pPr>
            <w:r>
              <w:rPr>
                <w:rFonts w:ascii="仿宋_GB2312" w:hAnsi="仿宋_GB2312" w:cs="仿宋_GB2312" w:eastAsia="仿宋_GB2312"/>
              </w:rPr>
              <w:t>供应商为法人单位的）法定代表人亲自参加投标时，须提供本人身份证复印件；法定代表人授权他人参加投标时，须提供法定代表人委托授权书，同时提供被授权代表开标前六月内任意一个月在投标人单位的社保缴纳证明材料。（投标人为非法人单位的）投标文件中凡是需要法定代表人签字或盖章之处，非法人单位的负责人均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供应商信用要求</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磋商响应文件截止时间前六个月内其基本账户开户银行出具的资信证明；其他组织和自然人提供银行出具的资信证明或财务报表；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12月至今任意一个月已缴存的社会保障资金缴存单据或社保机构开具的社会保险参保缴费证明，依法不需要缴纳社会保障资金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提供2025年12月至今任意一个月的纳税证明或税务机关开具的完税证明，依法免税的单位应提供相关证明材料；供应商需在项目电子化交易系统中按要求提供相关证明材料并进行电子签章。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医疗器械生产或经营资质</w:t>
            </w:r>
          </w:p>
        </w:tc>
        <w:tc>
          <w:tcPr>
            <w:tcW w:type="dxa" w:w="3322"/>
          </w:tcPr>
          <w:p>
            <w:pPr>
              <w:pStyle w:val="null3"/>
            </w:pPr>
            <w:r>
              <w:rPr>
                <w:rFonts w:ascii="仿宋_GB2312" w:hAnsi="仿宋_GB2312" w:cs="仿宋_GB2312" w:eastAsia="仿宋_GB2312"/>
              </w:rPr>
              <w:t>投标产品中如有医疗器械，投标供应商须具备以下资质要求：供应商为代理商的提供“医疗器械经营许可证”或“医疗器械经营备案凭证”（投标产品须在其经营范围内）、和生产厂家的“医疗器械生产许可证”（进口产品不需要提供医疗器械生产许可证）；供应商为生产厂家的提供“医疗器械生产许可证”；同时提供拟投产品的医疗器械注册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供应商合法授权</w:t>
            </w:r>
          </w:p>
        </w:tc>
        <w:tc>
          <w:tcPr>
            <w:tcW w:type="dxa" w:w="3322"/>
          </w:tcPr>
          <w:p>
            <w:pPr>
              <w:pStyle w:val="null3"/>
            </w:pPr>
            <w:r>
              <w:rPr>
                <w:rFonts w:ascii="仿宋_GB2312" w:hAnsi="仿宋_GB2312" w:cs="仿宋_GB2312" w:eastAsia="仿宋_GB2312"/>
              </w:rPr>
              <w:t>进口产品需提供完整授权链条的产品授权书，且授权范围需包含本次采购项目内容；</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jc w:val="left"/>
      </w:pPr>
      <w:r>
        <w:rPr>
          <w:rFonts w:ascii="仿宋_GB2312" w:hAnsi="仿宋_GB2312" w:cs="仿宋_GB2312" w:eastAsia="仿宋_GB2312"/>
        </w:rPr>
        <w:t>（一）熟悉和理解单一来源采购文件；</w:t>
      </w:r>
    </w:p>
    <w:p>
      <w:pPr>
        <w:pStyle w:val="null3"/>
        <w:ind w:firstLine="480"/>
        <w:jc w:val="left"/>
      </w:pPr>
      <w:r>
        <w:rPr>
          <w:rFonts w:ascii="仿宋_GB2312" w:hAnsi="仿宋_GB2312" w:cs="仿宋_GB2312" w:eastAsia="仿宋_GB2312"/>
        </w:rPr>
        <w:t xml:space="preserve"> （二）审查供应商响应文件等是否满足单一来源采购文件要求，并作出评价；</w:t>
      </w:r>
    </w:p>
    <w:p>
      <w:pPr>
        <w:pStyle w:val="null3"/>
        <w:ind w:firstLine="480"/>
        <w:jc w:val="left"/>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jc w:val="left"/>
      </w:pPr>
      <w:r>
        <w:rPr>
          <w:rFonts w:ascii="仿宋_GB2312" w:hAnsi="仿宋_GB2312" w:cs="仿宋_GB2312" w:eastAsia="仿宋_GB2312"/>
        </w:rPr>
        <w:t>（四）推荐成交候选供应商，或者受采购人委托确定成交供应商；</w:t>
      </w:r>
    </w:p>
    <w:p>
      <w:pPr>
        <w:pStyle w:val="null3"/>
        <w:ind w:firstLine="480"/>
        <w:jc w:val="left"/>
      </w:pPr>
      <w:r>
        <w:rPr>
          <w:rFonts w:ascii="仿宋_GB2312" w:hAnsi="仿宋_GB2312" w:cs="仿宋_GB2312" w:eastAsia="仿宋_GB2312"/>
        </w:rPr>
        <w:t>（五）起草评审报告并进行签署；</w:t>
      </w:r>
    </w:p>
    <w:p>
      <w:pPr>
        <w:pStyle w:val="null3"/>
        <w:ind w:firstLine="480"/>
        <w:jc w:val="left"/>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3"/>
      </w:pPr>
      <w:r>
        <w:rPr>
          <w:rFonts w:ascii="仿宋_GB2312" w:hAnsi="仿宋_GB2312" w:cs="仿宋_GB2312" w:eastAsia="仿宋_GB2312"/>
          <w:sz w:val="24"/>
          <w:b/>
        </w:rPr>
        <w:t>5.2.2.熟悉和理解采购文件和停止评审</w:t>
      </w:r>
    </w:p>
    <w:p>
      <w:pPr>
        <w:pStyle w:val="null3"/>
        <w:ind w:firstLine="480"/>
        <w:jc w:val="left"/>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jc w:val="left"/>
      </w:pPr>
      <w:r>
        <w:rPr>
          <w:rFonts w:ascii="仿宋_GB2312" w:hAnsi="仿宋_GB2312" w:cs="仿宋_GB2312" w:eastAsia="仿宋_GB2312"/>
        </w:rPr>
        <w:t>二、本采购文件有下列情形之一的，协商小组应当停止评审：</w:t>
      </w:r>
    </w:p>
    <w:p>
      <w:pPr>
        <w:pStyle w:val="null3"/>
        <w:ind w:firstLine="480"/>
        <w:jc w:val="left"/>
      </w:pPr>
      <w:r>
        <w:rPr>
          <w:rFonts w:ascii="仿宋_GB2312" w:hAnsi="仿宋_GB2312" w:cs="仿宋_GB2312" w:eastAsia="仿宋_GB2312"/>
        </w:rPr>
        <w:t>（一）采购文件的规定存在歧义、重大缺陷的；</w:t>
      </w:r>
    </w:p>
    <w:p>
      <w:pPr>
        <w:pStyle w:val="null3"/>
        <w:ind w:firstLine="480"/>
        <w:jc w:val="left"/>
      </w:pPr>
      <w:r>
        <w:rPr>
          <w:rFonts w:ascii="仿宋_GB2312" w:hAnsi="仿宋_GB2312" w:cs="仿宋_GB2312" w:eastAsia="仿宋_GB2312"/>
        </w:rPr>
        <w:t>（二）采购文件明显以不合理条件对供应商实行差别待遇或者歧视待遇的；</w:t>
      </w:r>
    </w:p>
    <w:p>
      <w:pPr>
        <w:pStyle w:val="null3"/>
        <w:ind w:firstLine="480"/>
        <w:jc w:val="left"/>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jc w:val="left"/>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jc w:val="left"/>
      </w:pPr>
      <w:r>
        <w:rPr>
          <w:rFonts w:ascii="仿宋_GB2312" w:hAnsi="仿宋_GB2312" w:cs="仿宋_GB2312" w:eastAsia="仿宋_GB2312"/>
        </w:rPr>
        <w:t>（五）采购文件将供应商的资格条件列为评分因素的；</w:t>
      </w:r>
    </w:p>
    <w:p>
      <w:pPr>
        <w:pStyle w:val="null3"/>
        <w:ind w:firstLine="480"/>
        <w:jc w:val="left"/>
      </w:pPr>
      <w:r>
        <w:rPr>
          <w:rFonts w:ascii="仿宋_GB2312" w:hAnsi="仿宋_GB2312" w:cs="仿宋_GB2312" w:eastAsia="仿宋_GB2312"/>
        </w:rPr>
        <w:t>（六）采购文件载明的成交原则不合法的；</w:t>
      </w:r>
    </w:p>
    <w:p>
      <w:pPr>
        <w:pStyle w:val="null3"/>
        <w:ind w:firstLine="480"/>
        <w:jc w:val="left"/>
      </w:pPr>
      <w:r>
        <w:rPr>
          <w:rFonts w:ascii="仿宋_GB2312" w:hAnsi="仿宋_GB2312" w:cs="仿宋_GB2312" w:eastAsia="仿宋_GB2312"/>
        </w:rPr>
        <w:t>（七）采购文件有违反国家其他有关强制性规定的情形。</w:t>
      </w:r>
    </w:p>
    <w:p>
      <w:pPr>
        <w:pStyle w:val="null3"/>
        <w:ind w:firstLine="480"/>
        <w:jc w:val="left"/>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产品技术参数表 商务应答表 标的清单 报价表 项目实施方案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产品技术参数表 商务应答表 标的清单 报价表 项目实施方案 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一、协商会议在项目电子化交易系统进行。协商会议由代理机构在线主持，供应商代表在线参加。</w:t>
      </w:r>
    </w:p>
    <w:p>
      <w:pPr>
        <w:pStyle w:val="null3"/>
        <w:ind w:firstLine="480"/>
      </w:pPr>
      <w:r>
        <w:rPr>
          <w:rFonts w:ascii="仿宋_GB2312" w:hAnsi="仿宋_GB2312" w:cs="仿宋_GB2312" w:eastAsia="仿宋_GB2312"/>
        </w:rPr>
        <w:t>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jc w:val="left"/>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jc w:val="left"/>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jc w:val="left"/>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jc w:val="left"/>
      </w:pPr>
      <w:r>
        <w:rPr>
          <w:rFonts w:ascii="仿宋_GB2312" w:hAnsi="仿宋_GB2312" w:cs="仿宋_GB2312" w:eastAsia="仿宋_GB2312"/>
        </w:rPr>
        <w:t>（一）因情况变化，不再符合规定的单一来源采购方式适用情形的；</w:t>
      </w:r>
    </w:p>
    <w:p>
      <w:pPr>
        <w:pStyle w:val="null3"/>
        <w:jc w:val="left"/>
      </w:pPr>
      <w:r>
        <w:rPr>
          <w:rFonts w:ascii="仿宋_GB2312" w:hAnsi="仿宋_GB2312" w:cs="仿宋_GB2312" w:eastAsia="仿宋_GB2312"/>
        </w:rPr>
        <w:t>（二）出现影响采购公正的违法、违规行为的；</w:t>
      </w:r>
    </w:p>
    <w:p>
      <w:pPr>
        <w:pStyle w:val="null3"/>
        <w:jc w:val="left"/>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 xml:space="preserve"> 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详见附件：项目实施方案</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详见附件：政府采购合同12.17.docx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