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4DE6DE">
      <w:pPr>
        <w:spacing w:line="600" w:lineRule="exact"/>
        <w:jc w:val="center"/>
        <w:rPr>
          <w:rFonts w:hint="eastAsia" w:ascii="仿宋" w:hAnsi="仿宋" w:eastAsia="仿宋" w:cs="仿宋"/>
          <w:b/>
          <w:color w:val="000000" w:themeColor="text1"/>
          <w:sz w:val="32"/>
          <w:szCs w:val="32"/>
          <w:highlight w:val="none"/>
          <w:lang w:eastAsia="zh-CN"/>
          <w14:textFill>
            <w14:solidFill>
              <w14:schemeClr w14:val="tx1"/>
            </w14:solidFill>
          </w14:textFill>
        </w:rPr>
      </w:pPr>
      <w:r>
        <w:rPr>
          <w:rFonts w:hint="eastAsia" w:ascii="仿宋" w:hAnsi="仿宋" w:eastAsia="仿宋" w:cs="仿宋"/>
          <w:b/>
          <w:color w:val="000000" w:themeColor="text1"/>
          <w:sz w:val="32"/>
          <w:szCs w:val="32"/>
          <w:highlight w:val="none"/>
          <w:lang w:eastAsia="zh-CN"/>
          <w14:textFill>
            <w14:solidFill>
              <w14:schemeClr w14:val="tx1"/>
            </w14:solidFill>
          </w14:textFill>
        </w:rPr>
        <w:t xml:space="preserve"> </w:t>
      </w:r>
      <w:r>
        <w:rPr>
          <w:rFonts w:hint="eastAsia" w:ascii="仿宋" w:hAnsi="仿宋" w:eastAsia="仿宋" w:cs="仿宋"/>
          <w:b/>
          <w:color w:val="000000" w:themeColor="text1"/>
          <w:sz w:val="32"/>
          <w:szCs w:val="32"/>
          <w:highlight w:val="none"/>
          <w:lang w:val="en-US" w:eastAsia="zh-CN"/>
          <w14:textFill>
            <w14:solidFill>
              <w14:schemeClr w14:val="tx1"/>
            </w14:solidFill>
          </w14:textFill>
        </w:rPr>
        <w:t>政府采购</w:t>
      </w:r>
      <w:r>
        <w:rPr>
          <w:rFonts w:hint="eastAsia" w:ascii="仿宋" w:hAnsi="仿宋" w:eastAsia="仿宋" w:cs="仿宋"/>
          <w:b/>
          <w:color w:val="000000" w:themeColor="text1"/>
          <w:sz w:val="32"/>
          <w:szCs w:val="32"/>
          <w:highlight w:val="none"/>
          <w:lang w:eastAsia="zh-CN"/>
          <w14:textFill>
            <w14:solidFill>
              <w14:schemeClr w14:val="tx1"/>
            </w14:solidFill>
          </w14:textFill>
        </w:rPr>
        <w:t>合同</w:t>
      </w:r>
    </w:p>
    <w:p w14:paraId="2E69D8E1">
      <w:pPr>
        <w:spacing w:line="360" w:lineRule="auto"/>
        <w:rPr>
          <w:rFonts w:hint="eastAsia" w:ascii="仿宋" w:hAnsi="仿宋" w:eastAsia="仿宋" w:cs="仿宋"/>
          <w:b/>
          <w:sz w:val="24"/>
          <w:szCs w:val="24"/>
          <w:highlight w:val="none"/>
          <w:lang w:eastAsia="zh-CN"/>
        </w:rPr>
      </w:pPr>
    </w:p>
    <w:p w14:paraId="6CAFC28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甲方（</w:t>
      </w:r>
      <w:r>
        <w:rPr>
          <w:rFonts w:hint="eastAsia" w:ascii="仿宋" w:hAnsi="仿宋" w:eastAsia="仿宋" w:cs="仿宋"/>
          <w:sz w:val="24"/>
          <w:szCs w:val="24"/>
          <w:highlight w:val="none"/>
          <w:lang w:val="en-US" w:eastAsia="zh-CN"/>
        </w:rPr>
        <w:t>采购</w:t>
      </w:r>
      <w:r>
        <w:rPr>
          <w:rFonts w:hint="eastAsia" w:ascii="仿宋" w:hAnsi="仿宋" w:eastAsia="仿宋" w:cs="仿宋"/>
          <w:sz w:val="24"/>
          <w:szCs w:val="24"/>
          <w:highlight w:val="none"/>
          <w:lang w:eastAsia="zh-CN"/>
        </w:rPr>
        <w:t>人）：</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highlight w:val="none"/>
          <w:lang w:eastAsia="zh-CN"/>
        </w:rPr>
        <w:t xml:space="preserve"> </w:t>
      </w:r>
    </w:p>
    <w:p w14:paraId="0CEC8392">
      <w:pPr>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乙方（</w:t>
      </w:r>
      <w:r>
        <w:rPr>
          <w:rFonts w:hint="eastAsia" w:ascii="仿宋" w:hAnsi="仿宋" w:eastAsia="仿宋" w:cs="仿宋"/>
          <w:sz w:val="24"/>
          <w:szCs w:val="24"/>
          <w:highlight w:val="none"/>
          <w:lang w:val="en-US" w:eastAsia="zh-CN"/>
        </w:rPr>
        <w:t>供应商</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8B6FF3A">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根据《中华人民共和国政府采购法》、《中华人民共和国民法典》等相关法律</w:t>
      </w:r>
      <w:r>
        <w:rPr>
          <w:rFonts w:hint="eastAsia" w:ascii="仿宋" w:hAnsi="仿宋" w:eastAsia="仿宋" w:cs="仿宋"/>
          <w:sz w:val="24"/>
          <w:szCs w:val="24"/>
          <w:highlight w:val="none"/>
          <w:lang w:val="en-US" w:eastAsia="zh-CN"/>
        </w:rPr>
        <w:t>及xxxxxx</w:t>
      </w:r>
      <w:r>
        <w:rPr>
          <w:rFonts w:hint="eastAsia" w:ascii="仿宋" w:hAnsi="仿宋" w:eastAsia="仿宋" w:cs="仿宋"/>
          <w:sz w:val="24"/>
          <w:szCs w:val="24"/>
          <w:highlight w:val="none"/>
          <w:lang w:eastAsia="zh-CN"/>
        </w:rPr>
        <w:t>项目的</w:t>
      </w:r>
      <w:r>
        <w:rPr>
          <w:rFonts w:hint="eastAsia" w:ascii="仿宋" w:hAnsi="仿宋" w:eastAsia="仿宋" w:cs="仿宋"/>
          <w:sz w:val="24"/>
          <w:szCs w:val="24"/>
          <w:highlight w:val="none"/>
          <w:lang w:val="en-US" w:eastAsia="zh-CN"/>
        </w:rPr>
        <w:t>单一来源谈判文件及单一来源谈判响应文件</w:t>
      </w:r>
      <w:r>
        <w:rPr>
          <w:rFonts w:hint="eastAsia" w:ascii="仿宋" w:hAnsi="仿宋" w:eastAsia="仿宋" w:cs="仿宋"/>
          <w:sz w:val="24"/>
          <w:szCs w:val="24"/>
          <w:highlight w:val="none"/>
          <w:lang w:eastAsia="zh-CN"/>
        </w:rPr>
        <w:t>等有关规定，为确保甲方采购项目的顺利实施，甲、乙双方在平等自愿的原则下签订本合同，并共同遵守如下条款:</w:t>
      </w:r>
    </w:p>
    <w:p w14:paraId="0EB5AF5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合同内容:</w:t>
      </w:r>
    </w:p>
    <w:p w14:paraId="07DB00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第一条 货物名称、品种和数量</w:t>
      </w:r>
    </w:p>
    <w:tbl>
      <w:tblPr>
        <w:tblStyle w:val="4"/>
        <w:tblW w:w="536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
        <w:gridCol w:w="1170"/>
        <w:gridCol w:w="948"/>
        <w:gridCol w:w="1083"/>
        <w:gridCol w:w="1437"/>
        <w:gridCol w:w="1452"/>
        <w:gridCol w:w="1635"/>
        <w:gridCol w:w="971"/>
      </w:tblGrid>
      <w:tr w14:paraId="15B22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1" w:hRule="atLeast"/>
        </w:trPr>
        <w:tc>
          <w:tcPr>
            <w:tcW w:w="452" w:type="dxa"/>
            <w:vAlign w:val="center"/>
          </w:tcPr>
          <w:p w14:paraId="40ABCCB8">
            <w:pPr>
              <w:pStyle w:val="6"/>
              <w:spacing w:before="69" w:line="219" w:lineRule="auto"/>
              <w:ind w:right="0" w:rightChars="0"/>
              <w:jc w:val="center"/>
              <w:rPr>
                <w:rFonts w:hint="eastAsia" w:ascii="仿宋" w:hAnsi="仿宋" w:eastAsia="仿宋" w:cs="仿宋"/>
                <w:b/>
                <w:bCs/>
                <w:sz w:val="24"/>
                <w:szCs w:val="24"/>
                <w:highlight w:val="none"/>
                <w:lang w:val="en-US" w:eastAsia="zh-CN"/>
              </w:rPr>
            </w:pPr>
            <w:r>
              <w:rPr>
                <w:rFonts w:hint="eastAsia" w:ascii="仿宋" w:hAnsi="仿宋" w:eastAsia="仿宋" w:cs="仿宋"/>
                <w:b/>
                <w:bCs/>
                <w:sz w:val="24"/>
                <w:szCs w:val="24"/>
                <w:highlight w:val="none"/>
                <w:lang w:val="en-US" w:eastAsia="zh-CN"/>
              </w:rPr>
              <w:t>序号</w:t>
            </w:r>
          </w:p>
        </w:tc>
        <w:tc>
          <w:tcPr>
            <w:tcW w:w="1170" w:type="dxa"/>
            <w:vAlign w:val="center"/>
          </w:tcPr>
          <w:p w14:paraId="17C9875E">
            <w:pPr>
              <w:pStyle w:val="6"/>
              <w:spacing w:before="69" w:line="219" w:lineRule="auto"/>
              <w:ind w:right="0" w:rightChars="0"/>
              <w:jc w:val="center"/>
              <w:rPr>
                <w:rFonts w:hint="eastAsia" w:ascii="仿宋" w:hAnsi="仿宋" w:eastAsia="仿宋" w:cs="仿宋"/>
                <w:spacing w:val="-2"/>
                <w:sz w:val="24"/>
                <w:szCs w:val="24"/>
              </w:rPr>
            </w:pPr>
            <w:r>
              <w:rPr>
                <w:rFonts w:hint="eastAsia" w:ascii="仿宋" w:hAnsi="仿宋" w:eastAsia="仿宋" w:cs="仿宋"/>
                <w:spacing w:val="-2"/>
                <w:sz w:val="24"/>
                <w:szCs w:val="24"/>
              </w:rPr>
              <w:t>产品名称</w:t>
            </w:r>
          </w:p>
        </w:tc>
        <w:tc>
          <w:tcPr>
            <w:tcW w:w="948" w:type="dxa"/>
            <w:vAlign w:val="center"/>
          </w:tcPr>
          <w:p w14:paraId="594C449C">
            <w:pPr>
              <w:pStyle w:val="6"/>
              <w:spacing w:before="69" w:line="219" w:lineRule="auto"/>
              <w:ind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lang w:val="en-US" w:eastAsia="zh-CN"/>
              </w:rPr>
              <w:t>品牌/型号</w:t>
            </w:r>
          </w:p>
        </w:tc>
        <w:tc>
          <w:tcPr>
            <w:tcW w:w="1083" w:type="dxa"/>
            <w:vAlign w:val="center"/>
          </w:tcPr>
          <w:p w14:paraId="48EFB788">
            <w:pPr>
              <w:pStyle w:val="6"/>
              <w:spacing w:before="68" w:line="220" w:lineRule="auto"/>
              <w:ind w:right="0" w:rightChars="0"/>
              <w:jc w:val="center"/>
              <w:rPr>
                <w:rFonts w:hint="default" w:ascii="仿宋" w:hAnsi="仿宋" w:eastAsia="仿宋" w:cs="仿宋"/>
                <w:b/>
                <w:bCs/>
                <w:sz w:val="24"/>
                <w:szCs w:val="24"/>
                <w:highlight w:val="none"/>
                <w:lang w:val="en-US" w:eastAsia="zh-CN"/>
              </w:rPr>
            </w:pPr>
            <w:r>
              <w:rPr>
                <w:rFonts w:hint="eastAsia" w:ascii="仿宋" w:hAnsi="仿宋" w:eastAsia="仿宋" w:cs="仿宋"/>
                <w:spacing w:val="-2"/>
                <w:sz w:val="24"/>
                <w:szCs w:val="24"/>
                <w:lang w:val="en-US" w:eastAsia="zh-CN"/>
              </w:rPr>
              <w:t>制造商</w:t>
            </w:r>
          </w:p>
        </w:tc>
        <w:tc>
          <w:tcPr>
            <w:tcW w:w="1437" w:type="dxa"/>
            <w:vAlign w:val="center"/>
          </w:tcPr>
          <w:p w14:paraId="30C5EFA5">
            <w:pPr>
              <w:pStyle w:val="6"/>
              <w:spacing w:before="68" w:line="220" w:lineRule="auto"/>
              <w:ind w:left="0" w:leftChars="0" w:right="0" w:rightChars="0"/>
              <w:jc w:val="center"/>
              <w:rPr>
                <w:rFonts w:hint="eastAsia" w:ascii="仿宋" w:hAnsi="仿宋" w:eastAsia="仿宋" w:cs="仿宋"/>
                <w:b/>
                <w:bCs/>
                <w:sz w:val="24"/>
                <w:szCs w:val="24"/>
                <w:highlight w:val="none"/>
              </w:rPr>
            </w:pPr>
            <w:r>
              <w:rPr>
                <w:rFonts w:hint="eastAsia" w:ascii="仿宋" w:hAnsi="仿宋" w:eastAsia="仿宋" w:cs="仿宋"/>
                <w:spacing w:val="-3"/>
                <w:sz w:val="24"/>
                <w:szCs w:val="24"/>
              </w:rPr>
              <w:t>数量</w:t>
            </w:r>
          </w:p>
        </w:tc>
        <w:tc>
          <w:tcPr>
            <w:tcW w:w="1452" w:type="dxa"/>
            <w:vAlign w:val="center"/>
          </w:tcPr>
          <w:p w14:paraId="03674EA7">
            <w:pPr>
              <w:pStyle w:val="6"/>
              <w:spacing w:before="69" w:line="219" w:lineRule="auto"/>
              <w:ind w:left="0" w:leftChars="0" w:right="0" w:rightChars="0"/>
              <w:jc w:val="center"/>
              <w:rPr>
                <w:rFonts w:hint="eastAsia" w:ascii="仿宋" w:hAnsi="仿宋" w:eastAsia="仿宋" w:cs="仿宋"/>
                <w:b/>
                <w:bCs/>
                <w:sz w:val="24"/>
                <w:szCs w:val="24"/>
                <w:highlight w:val="none"/>
                <w:lang w:eastAsia="zh-CN"/>
              </w:rPr>
            </w:pPr>
            <w:r>
              <w:rPr>
                <w:rFonts w:hint="eastAsia" w:ascii="仿宋" w:hAnsi="仿宋" w:eastAsia="仿宋" w:cs="仿宋"/>
                <w:spacing w:val="9"/>
                <w:sz w:val="24"/>
                <w:szCs w:val="24"/>
              </w:rPr>
              <w:t>单价(元)</w:t>
            </w:r>
          </w:p>
        </w:tc>
        <w:tc>
          <w:tcPr>
            <w:tcW w:w="1635" w:type="dxa"/>
            <w:vAlign w:val="center"/>
          </w:tcPr>
          <w:p w14:paraId="4046C155">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合计（元）</w:t>
            </w:r>
          </w:p>
        </w:tc>
        <w:tc>
          <w:tcPr>
            <w:tcW w:w="971" w:type="dxa"/>
            <w:vAlign w:val="center"/>
          </w:tcPr>
          <w:p w14:paraId="3190CEA8">
            <w:pPr>
              <w:pStyle w:val="6"/>
              <w:spacing w:before="69" w:line="218" w:lineRule="auto"/>
              <w:ind w:left="0" w:leftChars="0" w:right="0" w:rightChars="0"/>
              <w:jc w:val="center"/>
              <w:rPr>
                <w:rFonts w:hint="default" w:ascii="仿宋" w:hAnsi="仿宋" w:eastAsia="仿宋" w:cs="仿宋"/>
                <w:spacing w:val="9"/>
                <w:sz w:val="24"/>
                <w:szCs w:val="24"/>
                <w:lang w:val="en-US" w:eastAsia="zh-CN"/>
              </w:rPr>
            </w:pPr>
            <w:r>
              <w:rPr>
                <w:rFonts w:hint="eastAsia" w:ascii="仿宋" w:hAnsi="仿宋" w:eastAsia="仿宋" w:cs="仿宋"/>
                <w:spacing w:val="9"/>
                <w:sz w:val="24"/>
                <w:szCs w:val="24"/>
                <w:lang w:val="en-US" w:eastAsia="zh-CN"/>
              </w:rPr>
              <w:t>备注</w:t>
            </w:r>
          </w:p>
        </w:tc>
      </w:tr>
      <w:tr w14:paraId="39E1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7" w:hRule="atLeast"/>
        </w:trPr>
        <w:tc>
          <w:tcPr>
            <w:tcW w:w="452" w:type="dxa"/>
            <w:shd w:val="clear" w:color="auto" w:fill="auto"/>
            <w:vAlign w:val="center"/>
          </w:tcPr>
          <w:p w14:paraId="5B9C3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F307EE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93B59E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92DBCC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38B21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DE96C0">
            <w:pPr>
              <w:spacing w:line="360" w:lineRule="auto"/>
              <w:ind w:firstLine="480" w:firstLineChars="200"/>
              <w:jc w:val="center"/>
              <w:rPr>
                <w:rFonts w:hint="eastAsia" w:ascii="仿宋" w:hAnsi="仿宋" w:eastAsia="仿宋" w:cs="仿宋"/>
                <w:sz w:val="24"/>
                <w:szCs w:val="24"/>
                <w:highlight w:val="none"/>
              </w:rPr>
            </w:pPr>
          </w:p>
        </w:tc>
        <w:tc>
          <w:tcPr>
            <w:tcW w:w="1635" w:type="dxa"/>
            <w:vAlign w:val="center"/>
          </w:tcPr>
          <w:p w14:paraId="48FA0FD0">
            <w:pPr>
              <w:spacing w:line="360" w:lineRule="auto"/>
              <w:ind w:firstLine="480" w:firstLineChars="200"/>
              <w:jc w:val="center"/>
              <w:rPr>
                <w:rFonts w:hint="eastAsia" w:ascii="仿宋" w:hAnsi="仿宋" w:eastAsia="仿宋" w:cs="仿宋"/>
                <w:sz w:val="24"/>
                <w:szCs w:val="24"/>
                <w:highlight w:val="none"/>
              </w:rPr>
            </w:pPr>
          </w:p>
        </w:tc>
        <w:tc>
          <w:tcPr>
            <w:tcW w:w="971" w:type="dxa"/>
            <w:vAlign w:val="center"/>
          </w:tcPr>
          <w:p w14:paraId="10E6B86B">
            <w:pPr>
              <w:spacing w:line="360" w:lineRule="auto"/>
              <w:ind w:firstLine="480" w:firstLineChars="200"/>
              <w:jc w:val="center"/>
              <w:rPr>
                <w:rFonts w:hint="eastAsia" w:ascii="仿宋" w:hAnsi="仿宋" w:eastAsia="仿宋" w:cs="仿宋"/>
                <w:sz w:val="24"/>
                <w:szCs w:val="24"/>
                <w:highlight w:val="none"/>
              </w:rPr>
            </w:pPr>
          </w:p>
        </w:tc>
      </w:tr>
      <w:tr w14:paraId="039D8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 w:hRule="atLeast"/>
        </w:trPr>
        <w:tc>
          <w:tcPr>
            <w:tcW w:w="452" w:type="dxa"/>
            <w:shd w:val="clear" w:color="auto" w:fill="auto"/>
            <w:vAlign w:val="center"/>
          </w:tcPr>
          <w:p w14:paraId="34D2FB6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30CF9E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8EDDE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04345D3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6B8631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45DEFEF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5DD581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0494A7F">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6407F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1D721D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C67A24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2D8FA3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2AB0F79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800B4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6DCC0A80">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3AF3C372">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2A400490">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38C8AD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77C6D5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7338A5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44C62B6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79C9A5B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5498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5A9B9DC1">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4C382384">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3A5F7947">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72F40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36D04C1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52E415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70A674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74C69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7EE1D3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7AA9FCFE">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1635" w:type="dxa"/>
            <w:vAlign w:val="center"/>
          </w:tcPr>
          <w:p w14:paraId="68840F38">
            <w:pPr>
              <w:spacing w:line="360" w:lineRule="auto"/>
              <w:ind w:left="0" w:leftChars="0" w:right="0" w:rightChars="0" w:firstLine="480" w:firstLineChars="200"/>
              <w:jc w:val="center"/>
              <w:rPr>
                <w:rFonts w:hint="eastAsia" w:ascii="仿宋" w:hAnsi="仿宋" w:eastAsia="仿宋" w:cs="仿宋"/>
                <w:sz w:val="24"/>
                <w:szCs w:val="24"/>
                <w:highlight w:val="none"/>
              </w:rPr>
            </w:pPr>
          </w:p>
        </w:tc>
        <w:tc>
          <w:tcPr>
            <w:tcW w:w="971" w:type="dxa"/>
            <w:vAlign w:val="center"/>
          </w:tcPr>
          <w:p w14:paraId="6B7C1752">
            <w:pPr>
              <w:spacing w:line="360" w:lineRule="auto"/>
              <w:ind w:left="0" w:leftChars="0" w:right="0" w:rightChars="0" w:firstLine="480" w:firstLineChars="200"/>
              <w:jc w:val="center"/>
              <w:rPr>
                <w:rFonts w:hint="eastAsia" w:ascii="仿宋" w:hAnsi="仿宋" w:eastAsia="仿宋" w:cs="仿宋"/>
                <w:sz w:val="24"/>
                <w:szCs w:val="24"/>
                <w:highlight w:val="none"/>
              </w:rPr>
            </w:pPr>
          </w:p>
        </w:tc>
      </w:tr>
      <w:tr w14:paraId="53FD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926E8D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17873C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014977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3DD69F6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A21D3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B4EE66B">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017704C3">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2F89A7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4EABB4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892E88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542C5F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3438E8F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133F23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2B15E8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3F701F">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2AA450D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7420C5C">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3CD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00FDBA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170" w:type="dxa"/>
            <w:shd w:val="clear" w:color="auto" w:fill="auto"/>
            <w:vAlign w:val="center"/>
          </w:tcPr>
          <w:p w14:paraId="4A271B8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948" w:type="dxa"/>
            <w:shd w:val="clear" w:color="auto" w:fill="auto"/>
            <w:vAlign w:val="center"/>
          </w:tcPr>
          <w:p w14:paraId="1947858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083" w:type="dxa"/>
            <w:shd w:val="clear" w:color="auto" w:fill="auto"/>
            <w:vAlign w:val="center"/>
          </w:tcPr>
          <w:p w14:paraId="4EC25B0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37" w:type="dxa"/>
            <w:shd w:val="clear" w:color="auto" w:fill="auto"/>
            <w:vAlign w:val="center"/>
          </w:tcPr>
          <w:p w14:paraId="5EE6B8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1452" w:type="dxa"/>
            <w:vAlign w:val="center"/>
          </w:tcPr>
          <w:p w14:paraId="3D856608">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1635" w:type="dxa"/>
            <w:vAlign w:val="center"/>
          </w:tcPr>
          <w:p w14:paraId="7C9BCF4D">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c>
          <w:tcPr>
            <w:tcW w:w="971" w:type="dxa"/>
            <w:vAlign w:val="center"/>
          </w:tcPr>
          <w:p w14:paraId="7F0AF6A5">
            <w:pPr>
              <w:spacing w:line="360" w:lineRule="auto"/>
              <w:ind w:left="0" w:leftChars="0" w:right="0" w:rightChars="0" w:firstLine="480" w:firstLineChars="200"/>
              <w:jc w:val="center"/>
              <w:rPr>
                <w:rFonts w:hint="eastAsia" w:ascii="仿宋" w:hAnsi="仿宋" w:eastAsia="仿宋" w:cs="仿宋"/>
                <w:sz w:val="24"/>
                <w:szCs w:val="24"/>
                <w:highlight w:val="none"/>
                <w:lang w:eastAsia="zh-CN"/>
              </w:rPr>
            </w:pPr>
          </w:p>
        </w:tc>
      </w:tr>
      <w:tr w14:paraId="21FADD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452" w:type="dxa"/>
            <w:shd w:val="clear" w:color="auto" w:fill="auto"/>
            <w:vAlign w:val="center"/>
          </w:tcPr>
          <w:p w14:paraId="611809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jc w:val="center"/>
              <w:textAlignment w:val="auto"/>
              <w:rPr>
                <w:rFonts w:hint="eastAsia" w:ascii="仿宋" w:hAnsi="仿宋" w:eastAsia="仿宋" w:cs="仿宋"/>
                <w:color w:val="000000"/>
                <w:sz w:val="24"/>
                <w:szCs w:val="24"/>
                <w:highlight w:val="none"/>
                <w:lang w:val="en-US" w:eastAsia="zh-CN" w:bidi="ar-SA"/>
              </w:rPr>
            </w:pPr>
          </w:p>
        </w:tc>
        <w:tc>
          <w:tcPr>
            <w:tcW w:w="8696" w:type="dxa"/>
            <w:gridSpan w:val="7"/>
            <w:shd w:val="clear" w:color="auto" w:fill="auto"/>
            <w:vAlign w:val="center"/>
          </w:tcPr>
          <w:p w14:paraId="200A5EF3">
            <w:pPr>
              <w:spacing w:line="360" w:lineRule="auto"/>
              <w:ind w:right="0" w:rightChars="0"/>
              <w:jc w:val="both"/>
              <w:rPr>
                <w:rFonts w:hint="eastAsia" w:ascii="仿宋" w:hAnsi="仿宋" w:eastAsia="仿宋" w:cs="仿宋"/>
                <w:sz w:val="24"/>
                <w:szCs w:val="24"/>
                <w:highlight w:val="none"/>
                <w:u w:val="single"/>
                <w:lang w:val="en-US" w:eastAsia="zh-CN"/>
              </w:rPr>
            </w:pPr>
            <w:r>
              <w:rPr>
                <w:rFonts w:hint="eastAsia" w:ascii="仿宋" w:hAnsi="仿宋" w:eastAsia="仿宋" w:cs="仿宋"/>
                <w:sz w:val="24"/>
                <w:szCs w:val="24"/>
                <w:highlight w:val="none"/>
                <w:lang w:val="en-US" w:eastAsia="zh-CN"/>
              </w:rPr>
              <w:t>合同总价大写金额：</w:t>
            </w:r>
            <w:r>
              <w:rPr>
                <w:rFonts w:hint="eastAsia" w:ascii="仿宋" w:hAnsi="仿宋" w:eastAsia="仿宋" w:cs="仿宋"/>
                <w:sz w:val="24"/>
                <w:szCs w:val="24"/>
                <w:highlight w:val="none"/>
                <w:u w:val="single"/>
                <w:lang w:val="en-US" w:eastAsia="zh-CN"/>
              </w:rPr>
              <w:t xml:space="preserve">                   </w:t>
            </w:r>
          </w:p>
          <w:p w14:paraId="3F16AD97">
            <w:pPr>
              <w:pStyle w:val="2"/>
              <w:ind w:firstLine="960" w:firstLineChars="400"/>
              <w:rPr>
                <w:rFonts w:hint="default"/>
                <w:u w:val="single"/>
                <w:lang w:val="en-US" w:eastAsia="zh-CN"/>
              </w:rPr>
            </w:pPr>
            <w:r>
              <w:rPr>
                <w:rFonts w:hint="eastAsia" w:ascii="仿宋" w:hAnsi="仿宋" w:eastAsia="仿宋" w:cs="仿宋"/>
                <w:sz w:val="24"/>
                <w:szCs w:val="24"/>
                <w:highlight w:val="none"/>
                <w:lang w:val="en-US" w:eastAsia="zh-CN"/>
              </w:rPr>
              <w:t xml:space="preserve">小写金额 </w:t>
            </w:r>
            <w:r>
              <w:rPr>
                <w:rFonts w:hint="eastAsia" w:ascii="仿宋" w:hAnsi="仿宋" w:eastAsia="仿宋" w:cs="仿宋"/>
                <w:sz w:val="24"/>
                <w:szCs w:val="24"/>
                <w:highlight w:val="none"/>
                <w:u w:val="single"/>
                <w:lang w:val="en-US" w:eastAsia="zh-CN"/>
              </w:rPr>
              <w:t xml:space="preserve">                    </w:t>
            </w:r>
          </w:p>
        </w:tc>
      </w:tr>
    </w:tbl>
    <w:p w14:paraId="23A704FD">
      <w:pPr>
        <w:spacing w:line="360" w:lineRule="auto"/>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 xml:space="preserve">   第二条：</w:t>
      </w:r>
    </w:p>
    <w:p w14:paraId="7748CBCB">
      <w:pPr>
        <w:pStyle w:val="2"/>
        <w:rPr>
          <w:rFonts w:hint="eastAsia" w:ascii="仿宋" w:hAnsi="仿宋" w:eastAsia="仿宋" w:cs="仿宋"/>
          <w:sz w:val="24"/>
          <w:szCs w:val="24"/>
          <w:highlight w:val="none"/>
          <w:lang w:val="en-US" w:eastAsia="zh-CN"/>
        </w:rPr>
      </w:pPr>
    </w:p>
    <w:p w14:paraId="0D088D09">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二、合同金额</w:t>
      </w:r>
    </w:p>
    <w:p w14:paraId="56581FA5">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(1)本合同总金额为:</w:t>
      </w:r>
      <w:r>
        <w:rPr>
          <w:rFonts w:hint="eastAsia" w:ascii="仿宋" w:hAnsi="仿宋" w:eastAsia="仿宋" w:cs="仿宋"/>
          <w:sz w:val="24"/>
          <w:szCs w:val="24"/>
          <w:highlight w:val="none"/>
          <w:u w:val="single"/>
          <w:lang w:val="en-US" w:eastAsia="zh-CN"/>
        </w:rPr>
        <w:t>¥            元</w:t>
      </w:r>
      <w:r>
        <w:rPr>
          <w:rFonts w:hint="eastAsia" w:ascii="仿宋" w:hAnsi="仿宋" w:eastAsia="仿宋" w:cs="仿宋"/>
          <w:sz w:val="24"/>
          <w:szCs w:val="24"/>
          <w:highlight w:val="none"/>
          <w:lang w:val="en-US" w:eastAsia="zh-CN"/>
        </w:rPr>
        <w:t>(大写:                 )</w:t>
      </w:r>
    </w:p>
    <w:p w14:paraId="65913687">
      <w:pPr>
        <w:rPr>
          <w:rFonts w:hint="default"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(2)合同总价一次性包死，不受市场价格变化因素的影响合同总价包括:设备，安装，运输，培训等。</w:t>
      </w:r>
    </w:p>
    <w:p w14:paraId="12D775DC">
      <w:pPr>
        <w:pStyle w:val="7"/>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第三条、支付约定：</w:t>
      </w:r>
    </w:p>
    <w:p w14:paraId="5B3F85DA">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 付款条件说明： 合同签订之日起 ，达到付款条件起 10 日内，支付合同总金额的 60.00%。 安装调完成，验收合格后 ，达到付款条件起 10日内，支付合同总金额的 30.00%。 质保期结束后 ，达到付款条件起 30 日内，支付合同总金额的 10.00%。</w:t>
      </w:r>
    </w:p>
    <w:p w14:paraId="5A54C3E4">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2、结算方式:银行转账。</w:t>
      </w:r>
    </w:p>
    <w:p w14:paraId="27A439D7">
      <w:pPr>
        <w:spacing w:line="360" w:lineRule="auto"/>
        <w:ind w:firstLine="480" w:firstLineChars="200"/>
        <w:rPr>
          <w:rFonts w:hint="default" w:ascii="仿宋" w:hAnsi="仿宋" w:eastAsia="仿宋" w:cs="仿宋"/>
          <w:sz w:val="24"/>
          <w:szCs w:val="24"/>
          <w:highlight w:val="none"/>
          <w:lang w:val="en-US" w:eastAsia="zh-CN" w:bidi="ar-SA"/>
        </w:rPr>
      </w:pPr>
      <w:r>
        <w:rPr>
          <w:rFonts w:hint="default" w:ascii="仿宋" w:hAnsi="仿宋" w:eastAsia="仿宋" w:cs="仿宋"/>
          <w:sz w:val="24"/>
          <w:szCs w:val="24"/>
          <w:highlight w:val="none"/>
          <w:lang w:val="en-US" w:eastAsia="zh-CN" w:bidi="ar-SA"/>
        </w:rPr>
        <w:t>3、结算单位:由甲方负贵结算，乙方开具等额发票交采购人。乙方开具合同总价数的全额发票交甲方。乙方延迟开具或递交发票，甲方不承担延迟付款的违约责任。</w:t>
      </w:r>
    </w:p>
    <w:p w14:paraId="6A8B3D6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四</w:t>
      </w:r>
      <w:r>
        <w:rPr>
          <w:rFonts w:hint="eastAsia" w:ascii="仿宋" w:hAnsi="仿宋" w:eastAsia="仿宋" w:cs="仿宋"/>
          <w:sz w:val="24"/>
          <w:szCs w:val="24"/>
          <w:highlight w:val="none"/>
          <w:lang w:eastAsia="zh-CN"/>
        </w:rPr>
        <w:t xml:space="preserve">条 </w:t>
      </w: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期限、地点、方式</w:t>
      </w:r>
    </w:p>
    <w:p w14:paraId="2BED48FC">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期</w:t>
      </w:r>
      <w:r>
        <w:rPr>
          <w:rFonts w:hint="eastAsia" w:ascii="仿宋" w:hAnsi="仿宋" w:eastAsia="仿宋" w:cs="仿宋"/>
          <w:sz w:val="24"/>
          <w:szCs w:val="24"/>
          <w:highlight w:val="none"/>
          <w:lang w:val="en-US" w:eastAsia="zh-CN"/>
        </w:rPr>
        <w:t>限</w:t>
      </w:r>
      <w:r>
        <w:rPr>
          <w:rFonts w:hint="eastAsia" w:ascii="仿宋" w:hAnsi="仿宋" w:eastAsia="仿宋" w:cs="仿宋"/>
          <w:sz w:val="24"/>
          <w:szCs w:val="24"/>
          <w:highlight w:val="none"/>
          <w:lang w:eastAsia="zh-CN"/>
        </w:rPr>
        <w:t>：</w:t>
      </w:r>
      <w:r>
        <w:rPr>
          <w:rFonts w:hint="eastAsia" w:ascii="仿宋" w:hAnsi="仿宋" w:eastAsia="仿宋" w:cs="仿宋"/>
          <w:sz w:val="24"/>
          <w:szCs w:val="24"/>
          <w:highlight w:val="none"/>
          <w:u w:val="single"/>
          <w:lang w:eastAsia="zh-CN"/>
        </w:rPr>
        <w:t xml:space="preserve">                     </w:t>
      </w:r>
    </w:p>
    <w:p w14:paraId="56123C86">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val="en-US" w:eastAsia="zh-CN"/>
        </w:rPr>
        <w:t>履约</w:t>
      </w:r>
      <w:r>
        <w:rPr>
          <w:rFonts w:hint="eastAsia" w:ascii="仿宋" w:hAnsi="仿宋" w:eastAsia="仿宋" w:cs="仿宋"/>
          <w:sz w:val="24"/>
          <w:szCs w:val="24"/>
          <w:highlight w:val="none"/>
          <w:lang w:eastAsia="zh-CN"/>
        </w:rPr>
        <w:t>地点：</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bookmarkStart w:id="0" w:name="_GoBack"/>
      <w:bookmarkEnd w:id="0"/>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2985A43E">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方式:现场安装、调试、培训，涉及的商品包装和快递包装，均应符合《商品包装政府采购需求标准(试行)》《快递包装政府采购需求标准(试行)》的要求，包装应适应于远距离运输、防湖、防震、防锈和防野蛮装卸，以确保货物安全无损运抵指定地点。</w:t>
      </w:r>
    </w:p>
    <w:p w14:paraId="3A8053A7">
      <w:pPr>
        <w:pStyle w:val="2"/>
        <w:rPr>
          <w:rFonts w:hint="eastAsia" w:ascii="仿宋" w:hAnsi="仿宋" w:eastAsia="仿宋" w:cs="仿宋"/>
          <w:sz w:val="24"/>
          <w:szCs w:val="24"/>
          <w:highlight w:val="none"/>
          <w:lang w:eastAsia="zh-CN"/>
        </w:rPr>
      </w:pPr>
    </w:p>
    <w:p w14:paraId="0CCF4661">
      <w:pPr>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第五条：服务及质保期限</w:t>
      </w:r>
    </w:p>
    <w:p w14:paraId="23BACBC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1、对技术服务的要求</w:t>
      </w:r>
    </w:p>
    <w:p w14:paraId="113B0C02">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技术参数和性能指标详见单一来源谈判文件和单一来源谈判响应文件且符合国家及行业标准</w:t>
      </w:r>
    </w:p>
    <w:p w14:paraId="48C942A6">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2、技术资料:包括但不限于厂家资质、设备注册证、合格证、保修卡、安装、操作手册、使用说明、维修保养手册、电路图、零配件清单等。</w:t>
      </w:r>
    </w:p>
    <w:p w14:paraId="59DFCD5A">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3、售后服务</w:t>
      </w:r>
    </w:p>
    <w:p w14:paraId="374714D5">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3-1、乙方在接到甲方电话通知后在24小时内派出合格的服务人员到达现场进行服务，承担相应费用。</w:t>
      </w:r>
    </w:p>
    <w:p w14:paraId="64AFBC3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3-2、如果乙方在收到通知后两天内没有弥补缺陷，甲方可采取必要的补救措施，但其风险和费用将由乙方承担，甲方根据合同规定对乙方行使的其它权力不受影响。</w:t>
      </w:r>
    </w:p>
    <w:p w14:paraId="1691353B">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3-3、质量保修范围和保修期：质保期为验收合格后12个月（具体设备有明确质保服务要求的，从其约定），期间存在任何故障由乙方负责维修或更换，并承担全部费用（配件、人工费、运输费、更换等全部费用）</w:t>
      </w:r>
    </w:p>
    <w:p w14:paraId="1CDF1610">
      <w:pPr>
        <w:spacing w:line="360" w:lineRule="auto"/>
        <w:rPr>
          <w:rFonts w:hint="eastAsia" w:ascii="仿宋" w:hAnsi="仿宋" w:eastAsia="仿宋" w:cs="仿宋"/>
          <w:sz w:val="24"/>
          <w:szCs w:val="24"/>
          <w:highlight w:val="none"/>
          <w:lang w:val="en-US" w:eastAsia="zh-CN"/>
        </w:rPr>
      </w:pPr>
      <w:r>
        <w:rPr>
          <w:rFonts w:hint="default" w:ascii="仿宋" w:hAnsi="仿宋" w:eastAsia="仿宋" w:cs="仿宋"/>
          <w:sz w:val="24"/>
          <w:szCs w:val="24"/>
          <w:highlight w:val="none"/>
          <w:lang w:eastAsia="zh-CN"/>
        </w:rPr>
        <w:t>第</w:t>
      </w:r>
      <w:r>
        <w:rPr>
          <w:rFonts w:hint="eastAsia" w:ascii="仿宋" w:hAnsi="仿宋" w:eastAsia="仿宋" w:cs="仿宋"/>
          <w:sz w:val="24"/>
          <w:szCs w:val="24"/>
          <w:highlight w:val="none"/>
          <w:lang w:val="en-US" w:eastAsia="zh-CN"/>
        </w:rPr>
        <w:t>六</w:t>
      </w:r>
      <w:r>
        <w:rPr>
          <w:rFonts w:hint="default" w:ascii="仿宋" w:hAnsi="仿宋" w:eastAsia="仿宋" w:cs="仿宋"/>
          <w:sz w:val="24"/>
          <w:szCs w:val="24"/>
          <w:highlight w:val="none"/>
          <w:lang w:eastAsia="zh-CN"/>
        </w:rPr>
        <w:t>条</w:t>
      </w:r>
      <w:r>
        <w:rPr>
          <w:rFonts w:hint="eastAsia" w:ascii="仿宋" w:hAnsi="仿宋" w:eastAsia="仿宋" w:cs="仿宋"/>
          <w:sz w:val="24"/>
          <w:szCs w:val="24"/>
          <w:highlight w:val="none"/>
          <w:lang w:val="en-US" w:eastAsia="zh-CN"/>
        </w:rPr>
        <w:t>、验收</w:t>
      </w:r>
    </w:p>
    <w:p w14:paraId="6AA6CF9E">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1、验收:乙方完成服务内容后，向甲方提出验收申请，甲方接到乙方验收申请后组织验收(必要时可聘讲相应专家或委托相应部门验收)，验收合格后出具使用验收合格证明。</w:t>
      </w:r>
    </w:p>
    <w:p w14:paraId="1ECB626D">
      <w:pPr>
        <w:spacing w:line="360" w:lineRule="auto"/>
        <w:ind w:firstLine="480" w:firstLineChars="200"/>
        <w:rPr>
          <w:rFonts w:hint="eastAsia" w:ascii="仿宋" w:hAnsi="仿宋" w:eastAsia="仿宋" w:cs="仿宋"/>
          <w:sz w:val="24"/>
          <w:szCs w:val="24"/>
          <w:highlight w:val="none"/>
          <w:lang w:val="en-US" w:eastAsia="zh-CN"/>
        </w:rPr>
      </w:pPr>
      <w:r>
        <w:rPr>
          <w:rFonts w:hint="eastAsia" w:ascii="仿宋" w:hAnsi="仿宋" w:eastAsia="仿宋" w:cs="仿宋"/>
          <w:sz w:val="24"/>
          <w:szCs w:val="24"/>
          <w:highlight w:val="none"/>
          <w:lang w:val="en-US" w:eastAsia="zh-CN"/>
        </w:rPr>
        <w:t>2、最终验收:最终验收结果作为付款依据，乙方填写验收单，并向甲方提交实施过程中的所有资料，以便甲方日后管理和维护。</w:t>
      </w:r>
    </w:p>
    <w:p w14:paraId="016774F8">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3、验收依据:</w:t>
      </w:r>
    </w:p>
    <w:p w14:paraId="08A73B57">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3-1、合同文本、合同附件、单一来源谈判文件、单一来源谈判响应文件。</w:t>
      </w:r>
    </w:p>
    <w:p w14:paraId="3774F9C4">
      <w:pPr>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3-2、国内相应的标准、规范。</w:t>
      </w:r>
    </w:p>
    <w:p w14:paraId="3732886C">
      <w:pPr>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七、违约责任</w:t>
      </w:r>
    </w:p>
    <w:p w14:paraId="10DECF9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1、按《中华人民共和国民法典》以及相关法律的条款执行</w:t>
      </w:r>
    </w:p>
    <w:p w14:paraId="6755C9DB">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2、乙方履约延误</w:t>
      </w:r>
    </w:p>
    <w:p w14:paraId="13494B20">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2-1、如乙方事先未征得甲方同意并得到甲方的谅解而单方面延迟执行合同</w:t>
      </w:r>
      <w:r>
        <w:rPr>
          <w:rFonts w:hint="default" w:ascii="仿宋" w:hAnsi="仿宋" w:eastAsia="仿宋" w:cs="仿宋"/>
          <w:sz w:val="24"/>
          <w:szCs w:val="24"/>
          <w:highlight w:val="none"/>
          <w:lang w:eastAsia="zh-CN"/>
        </w:rPr>
        <w:t>，</w:t>
      </w:r>
      <w:r>
        <w:rPr>
          <w:rFonts w:hint="eastAsia" w:ascii="仿宋" w:hAnsi="仿宋" w:eastAsia="仿宋" w:cs="仿宋"/>
          <w:sz w:val="24"/>
          <w:szCs w:val="24"/>
          <w:highlight w:val="none"/>
          <w:lang w:eastAsia="zh-CN"/>
        </w:rPr>
        <w:t>每延误一天的赔偿费按合同金额的百分之零点五(0.6%)计收。误期赔偿费的最商限额为合同价格的百分之五(5%)。一旦达到误期赔偿费的最商限额，甲方可终止合同。</w:t>
      </w:r>
    </w:p>
    <w:p w14:paraId="65E93214">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2-2、在履行合同过程中，如果乙方遇到可能妨碍按时提供产品服务的情况，应及时以书面形式将拖延的事实，可能拖延的期限和理由通知甲方。甲方在收到乙方通知后，应尽快对情况进行评价，并确定是否通过修改合同，酌情延长服务时间或对乙方加收误期赔偿金。每延误一周的赔偿费按合同金额的百分之零点五(0.5%)计收，直至提供服务为止。误期赔偿费的最商限额为合同价格的百分之五(5%)。一旦达到误期赔偿费的最高限额，甲方可终止合同。</w:t>
      </w:r>
    </w:p>
    <w:p w14:paraId="18030ACD">
      <w:pPr>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3、违约终止合同:未按合同要求提供相应数量产品服务或不能满足技术要求以及不合格产品等违约行为，甲方会同监督机构有权终止合同，对乙方违约行为进行追究，乙方须退回甲方前期支付的费用，同时支付合同金额5%的赔偿金不足以弥补损失的，据实增加赔偿金额，并按中华人民共和国政府采购法的有关规定进行相应的处罚。</w:t>
      </w:r>
    </w:p>
    <w:p w14:paraId="6FFC7720">
      <w:pPr>
        <w:spacing w:line="360" w:lineRule="auto"/>
        <w:ind w:firstLine="480" w:firstLineChars="200"/>
        <w:rPr>
          <w:rFonts w:hint="default"/>
          <w:lang w:eastAsia="zh-CN"/>
        </w:rPr>
      </w:pPr>
      <w:r>
        <w:rPr>
          <w:rFonts w:hint="eastAsia" w:ascii="仿宋" w:hAnsi="仿宋" w:eastAsia="仿宋" w:cs="仿宋"/>
          <w:sz w:val="24"/>
          <w:szCs w:val="24"/>
          <w:highlight w:val="none"/>
          <w:lang w:eastAsia="zh-CN"/>
        </w:rPr>
        <w:t>4、本合同履行过程中，如因乙方违约，甲方提起诉讼的，乙方应当承担甲方为实现权利而产生的费用，包括但不限于诉讼费、律师费、鉴定费、评估费等费用</w:t>
      </w:r>
      <w:r>
        <w:rPr>
          <w:rFonts w:hint="default" w:ascii="仿宋" w:hAnsi="仿宋" w:eastAsia="仿宋" w:cs="仿宋"/>
          <w:sz w:val="24"/>
          <w:szCs w:val="24"/>
          <w:highlight w:val="none"/>
          <w:lang w:eastAsia="zh-CN"/>
        </w:rPr>
        <w:t>。</w:t>
      </w:r>
    </w:p>
    <w:p w14:paraId="40591A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eastAsia="zh-CN" w:bidi="ar-SA"/>
        </w:rPr>
        <w:t>第八条：</w:t>
      </w:r>
      <w:r>
        <w:rPr>
          <w:rFonts w:hint="eastAsia" w:ascii="仿宋" w:hAnsi="仿宋" w:eastAsia="仿宋" w:cs="仿宋"/>
          <w:sz w:val="24"/>
          <w:szCs w:val="24"/>
          <w:highlight w:val="none"/>
          <w:lang w:val="en-US" w:eastAsia="zh-CN" w:bidi="ar-SA"/>
        </w:rPr>
        <w:t>知识产权归属和处理方式：</w:t>
      </w:r>
    </w:p>
    <w:p w14:paraId="06B7B481">
      <w:pPr>
        <w:pStyle w:val="7"/>
        <w:numPr>
          <w:ilvl w:val="0"/>
          <w:numId w:val="1"/>
        </w:numPr>
        <w:spacing w:line="360" w:lineRule="auto"/>
        <w:ind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供应商应保证在本项目中使用的任何技术、产品和服务（包括部分使用），不会产生因第三方提出侵犯其专利权、商 标权或其它知识产权而引起的法律和经济纠纷，如因专利权、商标权或其它知识产权而引起法律和经济纠纷，由供应商承担所 有相关责任。采购人享有本项目实施过程中产生的知识成果及知识产权。 </w:t>
      </w:r>
    </w:p>
    <w:p w14:paraId="36171411">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供应商将在采购项目实施过程中采用自有或者第三方知识成果的，使用该知识成果后，供应商需提供开发接口和开发 手册等技术资料，并承诺提供无限期支持，采购人享有使用权（含采购人委托第三方在该项目后续开发的使用权）。 </w:t>
      </w:r>
    </w:p>
    <w:p w14:paraId="19BAB7C6">
      <w:pPr>
        <w:pStyle w:val="7"/>
        <w:numPr>
          <w:ilvl w:val="0"/>
          <w:numId w:val="1"/>
        </w:numPr>
        <w:spacing w:line="360" w:lineRule="auto"/>
        <w:ind w:left="0" w:leftChars="0" w:firstLine="480" w:firstLine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如采用供应商所不拥有的知识产权，则在报价中必须包括合法使用该知识产权的相关费用。</w:t>
      </w:r>
    </w:p>
    <w:p w14:paraId="7D33211B">
      <w:pPr>
        <w:pStyle w:val="7"/>
        <w:numPr>
          <w:ilvl w:val="0"/>
          <w:numId w:val="0"/>
        </w:numPr>
        <w:spacing w:line="360" w:lineRule="auto"/>
        <w:ind w:leftChars="20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 4、构成本单一来源谈判文件的各组成部分，未经采购人书面同意，供应商不得擅自复印或用于非本招标项目所需的其他目的。</w:t>
      </w:r>
    </w:p>
    <w:p w14:paraId="08844E99">
      <w:pPr>
        <w:pStyle w:val="7"/>
        <w:spacing w:line="360" w:lineRule="auto"/>
        <w:ind w:firstLine="480" w:firstLineChars="20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w:t>
      </w:r>
      <w:r>
        <w:rPr>
          <w:rFonts w:hint="eastAsia" w:ascii="仿宋" w:hAnsi="仿宋" w:eastAsia="仿宋" w:cs="仿宋"/>
          <w:sz w:val="24"/>
          <w:szCs w:val="24"/>
          <w:highlight w:val="none"/>
          <w:lang w:val="en-US" w:eastAsia="zh-CN" w:bidi="ar-SA"/>
        </w:rPr>
        <w:t>九</w:t>
      </w:r>
      <w:r>
        <w:rPr>
          <w:rFonts w:hint="default" w:ascii="仿宋" w:hAnsi="仿宋" w:eastAsia="仿宋" w:cs="仿宋"/>
          <w:sz w:val="24"/>
          <w:szCs w:val="24"/>
          <w:highlight w:val="none"/>
          <w:lang w:eastAsia="zh-CN" w:bidi="ar-SA"/>
        </w:rPr>
        <w:t>条</w:t>
      </w:r>
      <w:r>
        <w:rPr>
          <w:rFonts w:hint="eastAsia" w:ascii="仿宋" w:hAnsi="仿宋" w:eastAsia="仿宋" w:cs="仿宋"/>
          <w:sz w:val="24"/>
          <w:szCs w:val="24"/>
          <w:highlight w:val="none"/>
          <w:lang w:val="en-US" w:eastAsia="zh-CN" w:bidi="ar-SA"/>
        </w:rPr>
        <w:t>、合同组成</w:t>
      </w:r>
    </w:p>
    <w:p w14:paraId="4230C63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1、成交通知书</w:t>
      </w:r>
    </w:p>
    <w:p w14:paraId="0F64ACE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2、合同文件</w:t>
      </w:r>
    </w:p>
    <w:p w14:paraId="5675BDE2">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3、国家相关规范及标准</w:t>
      </w:r>
    </w:p>
    <w:p w14:paraId="3AB870B5">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4、单一来源谈判文件</w:t>
      </w:r>
    </w:p>
    <w:p w14:paraId="1BE94191">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5、单一来源谈判响应文件</w:t>
      </w:r>
    </w:p>
    <w:p w14:paraId="1BD601C4">
      <w:pPr>
        <w:pStyle w:val="7"/>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6、配置清单</w:t>
      </w:r>
    </w:p>
    <w:p w14:paraId="66D0D7F3">
      <w:pPr>
        <w:pStyle w:val="7"/>
        <w:spacing w:line="360" w:lineRule="auto"/>
        <w:ind w:firstLine="840"/>
        <w:rPr>
          <w:rFonts w:hint="eastAsia" w:ascii="仿宋" w:hAnsi="仿宋" w:eastAsia="仿宋" w:cs="仿宋"/>
          <w:sz w:val="24"/>
          <w:szCs w:val="24"/>
          <w:highlight w:val="none"/>
          <w:lang w:val="en-US" w:eastAsia="zh-CN" w:bidi="ar-SA"/>
        </w:rPr>
      </w:pPr>
      <w:r>
        <w:rPr>
          <w:rFonts w:hint="default" w:ascii="仿宋" w:hAnsi="仿宋" w:eastAsia="仿宋" w:cs="仿宋"/>
          <w:sz w:val="24"/>
          <w:szCs w:val="24"/>
          <w:highlight w:val="none"/>
          <w:lang w:eastAsia="zh-CN" w:bidi="ar-SA"/>
        </w:rPr>
        <w:t>第十条：</w:t>
      </w:r>
      <w:r>
        <w:rPr>
          <w:rFonts w:hint="eastAsia" w:ascii="仿宋" w:hAnsi="仿宋" w:eastAsia="仿宋" w:cs="仿宋"/>
          <w:sz w:val="24"/>
          <w:szCs w:val="24"/>
          <w:highlight w:val="none"/>
          <w:lang w:val="en-US" w:eastAsia="zh-CN" w:bidi="ar-SA"/>
        </w:rPr>
        <w:t>违约责任与解决争议的方法：</w:t>
      </w:r>
    </w:p>
    <w:p w14:paraId="57E84271">
      <w:pPr>
        <w:pStyle w:val="7"/>
        <w:spacing w:line="360" w:lineRule="auto"/>
        <w:ind w:left="240" w:leftChars="109" w:firstLine="674" w:firstLineChars="281"/>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按《中华人民共和国民法典》中的相关条款执行。 凡因本合同引起的或与本合同有关的争议，双方应友好协商解决。协商不成时，双方均同意采用以下第</w:t>
      </w:r>
      <w:r>
        <w:rPr>
          <w:rFonts w:hint="eastAsia" w:ascii="仿宋" w:hAnsi="仿宋" w:eastAsia="仿宋" w:cs="仿宋"/>
          <w:sz w:val="24"/>
          <w:szCs w:val="24"/>
          <w:highlight w:val="none"/>
          <w:u w:val="single"/>
          <w:lang w:val="en-US" w:eastAsia="zh-CN" w:bidi="ar-SA"/>
        </w:rPr>
        <w:t>（ 1）</w:t>
      </w:r>
      <w:r>
        <w:rPr>
          <w:rFonts w:hint="eastAsia" w:ascii="仿宋" w:hAnsi="仿宋" w:eastAsia="仿宋" w:cs="仿宋"/>
          <w:sz w:val="24"/>
          <w:szCs w:val="24"/>
          <w:highlight w:val="none"/>
          <w:lang w:val="en-US" w:eastAsia="zh-CN" w:bidi="ar-SA"/>
        </w:rPr>
        <w:t xml:space="preserve">种争议解决方式： </w:t>
      </w:r>
    </w:p>
    <w:p w14:paraId="56DE29BC">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 xml:space="preserve">、甲、乙双方均同意向（甲方所在地人民法院）提起诉讼。 </w:t>
      </w:r>
    </w:p>
    <w:p w14:paraId="1AA05136">
      <w:pPr>
        <w:pStyle w:val="7"/>
        <w:numPr>
          <w:ilvl w:val="0"/>
          <w:numId w:val="2"/>
        </w:numPr>
        <w:spacing w:line="360" w:lineRule="auto"/>
        <w:ind w:firstLine="840"/>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、甲、乙双方均同意向（仲裁委员会）提起仲裁。</w:t>
      </w:r>
    </w:p>
    <w:p w14:paraId="5280D38C">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十一、合同生效及其它</w:t>
      </w:r>
    </w:p>
    <w:p w14:paraId="33B5AE43">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1、合同未尽事宜、由甲、乙双方协商，作为合同补充，与原合同具有同等法律效力。</w:t>
      </w:r>
    </w:p>
    <w:p w14:paraId="69FC92A2">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2、本合同正</w:t>
      </w:r>
      <w:r>
        <w:rPr>
          <w:rFonts w:hint="eastAsia" w:ascii="仿宋" w:hAnsi="仿宋" w:eastAsia="仿宋" w:cs="仿宋"/>
          <w:sz w:val="24"/>
          <w:szCs w:val="24"/>
          <w:highlight w:val="none"/>
          <w:u w:val="single"/>
          <w:lang w:val="en-US" w:eastAsia="zh-CN" w:bidi="ar-SA"/>
        </w:rPr>
        <w:t>本一式</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份，甲方执</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份，乙方 </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份，财政备案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份</w:t>
      </w:r>
      <w:r>
        <w:rPr>
          <w:rFonts w:hint="eastAsia" w:ascii="仿宋" w:hAnsi="仿宋" w:eastAsia="仿宋" w:cs="仿宋"/>
          <w:sz w:val="24"/>
          <w:szCs w:val="24"/>
          <w:highlight w:val="none"/>
          <w:lang w:val="en-US" w:eastAsia="zh-CN" w:bidi="ar-SA"/>
        </w:rPr>
        <w:t>。</w:t>
      </w:r>
    </w:p>
    <w:p w14:paraId="45301A88">
      <w:pPr>
        <w:pStyle w:val="7"/>
        <w:numPr>
          <w:ilvl w:val="0"/>
          <w:numId w:val="0"/>
        </w:numPr>
        <w:spacing w:line="360" w:lineRule="auto"/>
        <w:rPr>
          <w:rFonts w:hint="default"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3、合同经甲乙双方盖章、签字后生效，合同签订地点为</w:t>
      </w:r>
      <w:r>
        <w:rPr>
          <w:rFonts w:hint="eastAsia" w:ascii="仿宋" w:hAnsi="仿宋" w:eastAsia="仿宋" w:cs="仿宋"/>
          <w:sz w:val="24"/>
          <w:szCs w:val="24"/>
          <w:highlight w:val="none"/>
          <w:u w:val="single"/>
          <w:lang w:val="en-US" w:eastAsia="zh-CN" w:bidi="ar-SA"/>
        </w:rPr>
        <w:t xml:space="preserve">            </w:t>
      </w:r>
    </w:p>
    <w:p w14:paraId="02FC0316">
      <w:pPr>
        <w:pStyle w:val="7"/>
        <w:numPr>
          <w:ilvl w:val="0"/>
          <w:numId w:val="0"/>
        </w:numPr>
        <w:spacing w:line="360" w:lineRule="auto"/>
        <w:rPr>
          <w:rFonts w:hint="eastAsia" w:ascii="仿宋" w:hAnsi="仿宋" w:eastAsia="仿宋" w:cs="仿宋"/>
          <w:sz w:val="24"/>
          <w:szCs w:val="24"/>
          <w:highlight w:val="none"/>
          <w:lang w:val="en-US" w:eastAsia="zh-CN" w:bidi="ar-SA"/>
        </w:rPr>
      </w:pPr>
      <w:r>
        <w:rPr>
          <w:rFonts w:hint="eastAsia" w:ascii="仿宋" w:hAnsi="仿宋" w:eastAsia="仿宋" w:cs="仿宋"/>
          <w:sz w:val="24"/>
          <w:szCs w:val="24"/>
          <w:highlight w:val="none"/>
          <w:lang w:val="en-US" w:eastAsia="zh-CN" w:bidi="ar-SA"/>
        </w:rPr>
        <w:t>4、生效时间: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 xml:space="preserve"> 年</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月</w:t>
      </w:r>
      <w:r>
        <w:rPr>
          <w:rFonts w:hint="default" w:ascii="仿宋" w:hAnsi="仿宋" w:eastAsia="仿宋" w:cs="仿宋"/>
          <w:sz w:val="24"/>
          <w:szCs w:val="24"/>
          <w:highlight w:val="none"/>
          <w:u w:val="single"/>
          <w:lang w:eastAsia="zh-CN" w:bidi="ar-SA"/>
        </w:rPr>
        <w:t xml:space="preserve">     </w:t>
      </w:r>
      <w:r>
        <w:rPr>
          <w:rFonts w:hint="eastAsia" w:ascii="仿宋" w:hAnsi="仿宋" w:eastAsia="仿宋" w:cs="仿宋"/>
          <w:sz w:val="24"/>
          <w:szCs w:val="24"/>
          <w:highlight w:val="none"/>
          <w:u w:val="single"/>
          <w:lang w:val="en-US" w:eastAsia="zh-CN" w:bidi="ar-SA"/>
        </w:rPr>
        <w:t>日</w:t>
      </w:r>
    </w:p>
    <w:p w14:paraId="16E92C61">
      <w:pPr>
        <w:spacing w:line="360" w:lineRule="auto"/>
        <w:ind w:firstLine="480" w:firstLineChars="200"/>
        <w:rPr>
          <w:rFonts w:hint="eastAsia" w:ascii="仿宋" w:hAnsi="仿宋" w:eastAsia="仿宋" w:cs="仿宋"/>
          <w:sz w:val="24"/>
          <w:szCs w:val="24"/>
          <w:highlight w:val="none"/>
          <w:lang w:val="en-US" w:eastAsia="zh-CN" w:bidi="ar-SA"/>
        </w:rPr>
      </w:pPr>
    </w:p>
    <w:p w14:paraId="7F4F3FB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招标人：</w:t>
      </w:r>
      <w:r>
        <w:rPr>
          <w:rFonts w:hint="eastAsia" w:ascii="仿宋" w:hAnsi="仿宋" w:eastAsia="仿宋" w:cs="仿宋"/>
          <w:sz w:val="24"/>
          <w:szCs w:val="24"/>
          <w:highlight w:val="none"/>
          <w:u w:val="single"/>
          <w:lang w:eastAsia="zh-CN"/>
        </w:rPr>
        <w:t xml:space="preserve">   （盖章）        </w:t>
      </w:r>
      <w:r>
        <w:rPr>
          <w:rFonts w:hint="eastAsia" w:ascii="仿宋" w:hAnsi="仿宋" w:eastAsia="仿宋" w:cs="仿宋"/>
          <w:sz w:val="24"/>
          <w:szCs w:val="24"/>
          <w:highlight w:val="none"/>
          <w:lang w:eastAsia="zh-CN"/>
        </w:rPr>
        <w:t xml:space="preserve">          供应商：</w:t>
      </w:r>
      <w:r>
        <w:rPr>
          <w:rFonts w:hint="eastAsia" w:ascii="仿宋" w:hAnsi="仿宋" w:eastAsia="仿宋" w:cs="仿宋"/>
          <w:sz w:val="24"/>
          <w:szCs w:val="24"/>
          <w:highlight w:val="none"/>
          <w:u w:val="single"/>
          <w:lang w:eastAsia="zh-CN"/>
        </w:rPr>
        <w:t xml:space="preserve">   （盖章）         </w:t>
      </w:r>
    </w:p>
    <w:p w14:paraId="74F37FA0">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 xml:space="preserve">地 址： </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地  址：</w:t>
      </w:r>
      <w:r>
        <w:rPr>
          <w:rFonts w:hint="eastAsia" w:ascii="仿宋" w:hAnsi="仿宋" w:eastAsia="仿宋" w:cs="仿宋"/>
          <w:sz w:val="24"/>
          <w:szCs w:val="24"/>
          <w:highlight w:val="none"/>
          <w:u w:val="single"/>
          <w:lang w:eastAsia="zh-CN"/>
        </w:rPr>
        <w:t xml:space="preserve">                     </w:t>
      </w:r>
    </w:p>
    <w:p w14:paraId="6B00925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邮政编码：</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邮政编码：</w:t>
      </w:r>
      <w:r>
        <w:rPr>
          <w:rFonts w:hint="eastAsia" w:ascii="仿宋" w:hAnsi="仿宋" w:eastAsia="仿宋" w:cs="仿宋"/>
          <w:sz w:val="24"/>
          <w:szCs w:val="24"/>
          <w:highlight w:val="none"/>
          <w:u w:val="single"/>
          <w:lang w:eastAsia="zh-CN"/>
        </w:rPr>
        <w:t xml:space="preserve">                    </w:t>
      </w:r>
    </w:p>
    <w:p w14:paraId="340683AE">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 xml:space="preserve">法定代表人或其授权                   法定代表人或其授权 </w:t>
      </w:r>
    </w:p>
    <w:p w14:paraId="15A8123F">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的代理人：</w:t>
      </w:r>
      <w:r>
        <w:rPr>
          <w:rFonts w:hint="eastAsia" w:ascii="仿宋" w:hAnsi="仿宋" w:eastAsia="仿宋" w:cs="仿宋"/>
          <w:sz w:val="24"/>
          <w:szCs w:val="24"/>
          <w:highlight w:val="none"/>
          <w:u w:val="single"/>
          <w:lang w:eastAsia="zh-CN"/>
        </w:rPr>
        <w:t xml:space="preserve">（签字）        </w:t>
      </w:r>
      <w:r>
        <w:rPr>
          <w:rFonts w:hint="eastAsia" w:ascii="仿宋" w:hAnsi="仿宋" w:eastAsia="仿宋" w:cs="仿宋"/>
          <w:sz w:val="24"/>
          <w:szCs w:val="24"/>
          <w:highlight w:val="none"/>
          <w:lang w:eastAsia="zh-CN"/>
        </w:rPr>
        <w:t xml:space="preserve">           的代理人：</w:t>
      </w:r>
      <w:r>
        <w:rPr>
          <w:rFonts w:hint="eastAsia" w:ascii="仿宋" w:hAnsi="仿宋" w:eastAsia="仿宋" w:cs="仿宋"/>
          <w:sz w:val="24"/>
          <w:szCs w:val="24"/>
          <w:highlight w:val="none"/>
          <w:u w:val="single"/>
          <w:lang w:eastAsia="zh-CN"/>
        </w:rPr>
        <w:t xml:space="preserve">（签字）           </w:t>
      </w:r>
    </w:p>
    <w:p w14:paraId="2773A747">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开户银行：</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开户银行：</w:t>
      </w:r>
      <w:r>
        <w:rPr>
          <w:rFonts w:hint="eastAsia" w:ascii="仿宋" w:hAnsi="仿宋" w:eastAsia="仿宋" w:cs="仿宋"/>
          <w:sz w:val="24"/>
          <w:szCs w:val="24"/>
          <w:highlight w:val="none"/>
          <w:u w:val="single"/>
          <w:lang w:eastAsia="zh-CN"/>
        </w:rPr>
        <w:t xml:space="preserve">                   </w:t>
      </w:r>
    </w:p>
    <w:p w14:paraId="53A04639">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账号：</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w:t>
      </w:r>
    </w:p>
    <w:p w14:paraId="461A05F1">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电话：</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电话：</w:t>
      </w:r>
      <w:r>
        <w:rPr>
          <w:rFonts w:hint="eastAsia" w:ascii="仿宋" w:hAnsi="仿宋" w:eastAsia="仿宋" w:cs="仿宋"/>
          <w:sz w:val="24"/>
          <w:szCs w:val="24"/>
          <w:highlight w:val="none"/>
          <w:u w:val="single"/>
          <w:lang w:eastAsia="zh-CN"/>
        </w:rPr>
        <w:t xml:space="preserve">                       </w:t>
      </w:r>
    </w:p>
    <w:p w14:paraId="3710A868">
      <w:pPr>
        <w:adjustRightInd w:val="0"/>
        <w:snapToGrid w:val="0"/>
        <w:spacing w:line="360" w:lineRule="auto"/>
        <w:ind w:firstLine="480" w:firstLineChars="200"/>
        <w:rPr>
          <w:rFonts w:hint="eastAsia" w:ascii="仿宋" w:hAnsi="仿宋" w:eastAsia="仿宋" w:cs="仿宋"/>
          <w:sz w:val="24"/>
          <w:szCs w:val="24"/>
          <w:highlight w:val="none"/>
          <w:lang w:eastAsia="zh-CN"/>
        </w:rPr>
      </w:pPr>
      <w:r>
        <w:rPr>
          <w:rFonts w:hint="eastAsia" w:ascii="仿宋" w:hAnsi="仿宋" w:eastAsia="仿宋" w:cs="仿宋"/>
          <w:sz w:val="24"/>
          <w:szCs w:val="24"/>
          <w:highlight w:val="none"/>
          <w:lang w:eastAsia="zh-CN"/>
        </w:rPr>
        <w:t>传真：</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lang w:eastAsia="zh-CN"/>
        </w:rPr>
        <w:t xml:space="preserve">         传真：</w:t>
      </w:r>
      <w:r>
        <w:rPr>
          <w:rFonts w:hint="eastAsia" w:ascii="仿宋" w:hAnsi="仿宋" w:eastAsia="仿宋" w:cs="仿宋"/>
          <w:sz w:val="24"/>
          <w:szCs w:val="24"/>
          <w:highlight w:val="none"/>
          <w:u w:val="single"/>
          <w:lang w:eastAsia="zh-CN"/>
        </w:rPr>
        <w:t xml:space="preserve">                       </w:t>
      </w:r>
    </w:p>
    <w:p w14:paraId="327EA2B4">
      <w:pPr>
        <w:adjustRightInd w:val="0"/>
        <w:snapToGrid w:val="0"/>
        <w:spacing w:line="360" w:lineRule="auto"/>
        <w:ind w:firstLine="480" w:firstLineChars="200"/>
        <w:rPr>
          <w:rFonts w:hint="eastAsia" w:ascii="仿宋" w:hAnsi="仿宋" w:eastAsia="仿宋" w:cs="仿宋"/>
          <w:sz w:val="24"/>
          <w:szCs w:val="24"/>
          <w:highlight w:val="none"/>
          <w:u w:val="single"/>
          <w:lang w:eastAsia="zh-CN"/>
        </w:rPr>
      </w:pPr>
      <w:r>
        <w:rPr>
          <w:rFonts w:hint="eastAsia" w:ascii="仿宋" w:hAnsi="仿宋" w:eastAsia="仿宋" w:cs="仿宋"/>
          <w:sz w:val="24"/>
          <w:szCs w:val="24"/>
          <w:highlight w:val="none"/>
          <w:lang w:eastAsia="zh-CN"/>
        </w:rPr>
        <w:t>电子邮箱：</w:t>
      </w:r>
      <w:r>
        <w:rPr>
          <w:rFonts w:hint="eastAsia" w:ascii="仿宋" w:hAnsi="仿宋" w:eastAsia="仿宋" w:cs="仿宋"/>
          <w:sz w:val="24"/>
          <w:szCs w:val="24"/>
          <w:highlight w:val="none"/>
          <w:u w:val="single"/>
          <w:lang w:eastAsia="zh-CN"/>
        </w:rPr>
        <w:t xml:space="preserve">                 </w:t>
      </w:r>
      <w:r>
        <w:rPr>
          <w:rFonts w:hint="eastAsia" w:ascii="仿宋" w:hAnsi="仿宋" w:eastAsia="仿宋" w:cs="仿宋"/>
          <w:sz w:val="24"/>
          <w:szCs w:val="24"/>
          <w:highlight w:val="none"/>
          <w:u w:val="single"/>
          <w:lang w:val="en-US" w:eastAsia="zh-CN"/>
        </w:rPr>
        <w:t xml:space="preserve">  </w:t>
      </w:r>
      <w:r>
        <w:rPr>
          <w:rFonts w:hint="eastAsia" w:ascii="仿宋" w:hAnsi="仿宋" w:eastAsia="仿宋" w:cs="仿宋"/>
          <w:sz w:val="24"/>
          <w:szCs w:val="24"/>
          <w:highlight w:val="none"/>
          <w:lang w:eastAsia="zh-CN"/>
        </w:rPr>
        <w:t xml:space="preserve">          电子邮箱：</w:t>
      </w:r>
      <w:r>
        <w:rPr>
          <w:rFonts w:hint="eastAsia" w:ascii="仿宋" w:hAnsi="仿宋" w:eastAsia="仿宋" w:cs="仿宋"/>
          <w:sz w:val="24"/>
          <w:szCs w:val="24"/>
          <w:highlight w:val="none"/>
          <w:u w:val="single"/>
          <w:lang w:eastAsia="zh-CN"/>
        </w:rPr>
        <w:t xml:space="preserve">                   </w:t>
      </w:r>
    </w:p>
    <w:p w14:paraId="7FC98A4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AA86CD6"/>
    <w:multiLevelType w:val="singleLevel"/>
    <w:tmpl w:val="FAA86CD6"/>
    <w:lvl w:ilvl="0" w:tentative="0">
      <w:start w:val="1"/>
      <w:numFmt w:val="decimal"/>
      <w:suff w:val="nothing"/>
      <w:lvlText w:val="（%1）"/>
      <w:lvlJc w:val="left"/>
    </w:lvl>
  </w:abstractNum>
  <w:abstractNum w:abstractNumId="1">
    <w:nsid w:val="4153D092"/>
    <w:multiLevelType w:val="singleLevel"/>
    <w:tmpl w:val="4153D09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C9527B"/>
    <w:rsid w:val="13EB0233"/>
    <w:rsid w:val="1ABB39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1"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spacing w:before="0" w:after="0" w:line="240" w:lineRule="auto"/>
      <w:ind w:left="0" w:right="0"/>
      <w:jc w:val="left"/>
    </w:pPr>
    <w:rPr>
      <w:rFonts w:ascii="宋体" w:hAnsi="宋体" w:eastAsia="宋体" w:cs="宋体"/>
      <w:sz w:val="22"/>
      <w:szCs w:val="22"/>
      <w:lang w:val="en-US" w:eastAsia="en-US"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1"/>
    <w:pPr>
      <w:spacing w:line="272" w:lineRule="exact"/>
      <w:ind w:left="100"/>
    </w:pPr>
    <w:rPr>
      <w:rFonts w:ascii="宋体" w:hAnsi="宋体" w:eastAsia="宋体" w:cs="宋体"/>
      <w:sz w:val="21"/>
      <w:szCs w:val="21"/>
    </w:rPr>
  </w:style>
  <w:style w:type="table" w:styleId="4">
    <w:name w:val="Table Grid"/>
    <w:basedOn w:val="3"/>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6">
    <w:name w:val="Table Text"/>
    <w:basedOn w:val="1"/>
    <w:semiHidden/>
    <w:qFormat/>
    <w:uiPriority w:val="0"/>
    <w:rPr>
      <w:rFonts w:ascii="宋体" w:hAnsi="宋体" w:eastAsia="宋体" w:cs="宋体"/>
      <w:sz w:val="21"/>
      <w:szCs w:val="21"/>
      <w:lang w:val="en-US" w:eastAsia="en-US" w:bidi="ar-SA"/>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2404</Words>
  <Characters>2465</Characters>
  <Lines>0</Lines>
  <Paragraphs>0</Paragraphs>
  <TotalTime>4</TotalTime>
  <ScaleCrop>false</ScaleCrop>
  <LinksUpToDate>false</LinksUpToDate>
  <CharactersWithSpaces>3134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2025-06-24T02:08:00Z</dcterms:created>
  <dc:creator>静游</dc:creator>
  <cp:lastModifiedBy>静游</cp:lastModifiedBy>
  <dcterms:modified xsi:type="dcterms:W3CDTF">2025-12-17T02:57:56Z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C5DAD88034E2457F8ACE289B57D3941E_13</vt:lpwstr>
  </property>
  <property fmtid="{D5CDD505-2E9C-101B-9397-08002B2CF9AE}" pid="4" name="KSOTemplateDocerSaveRecord">
    <vt:lpwstr>eyJoZGlkIjoiYzNkMjk0YzE2MzcwZWYyNDcwNzZmMzFkYTUyMGQxOTMiLCJ1c2VySWQiOiIzMDAyOTMwODQifQ==</vt:lpwstr>
  </property>
</Properties>
</file>