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版本号：ZRD-2025XAZC64320251226001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铜川市王益区王益街道及桃园街道城镇开发边界外9个单元详细规划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ZRD-2025XAZC643</w:t>
      </w:r>
      <w:r>
        <w:br/>
      </w:r>
      <w:r>
        <w:br/>
      </w:r>
      <w:r>
        <w:br/>
      </w:r>
    </w:p>
    <w:p>
      <w:pPr>
        <w:pStyle w:val="null3"/>
        <w:jc w:val="center"/>
        <w:outlineLvl w:val="2"/>
      </w:pPr>
      <w:r>
        <w:rPr>
          <w:rFonts w:ascii="仿宋_GB2312" w:hAnsi="仿宋_GB2312" w:cs="仿宋_GB2312" w:eastAsia="仿宋_GB2312"/>
          <w:sz w:val="28"/>
          <w:b/>
        </w:rPr>
        <w:t>铜川市自然资源局王益分局</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铜川市自然资源局王益分局</w:t>
      </w:r>
      <w:r>
        <w:rPr>
          <w:rFonts w:ascii="仿宋_GB2312" w:hAnsi="仿宋_GB2312" w:cs="仿宋_GB2312" w:eastAsia="仿宋_GB2312"/>
        </w:rPr>
        <w:t>委托，拟对</w:t>
      </w:r>
      <w:r>
        <w:rPr>
          <w:rFonts w:ascii="仿宋_GB2312" w:hAnsi="仿宋_GB2312" w:cs="仿宋_GB2312" w:eastAsia="仿宋_GB2312"/>
        </w:rPr>
        <w:t>铜川市王益区王益街道及桃园街道城镇开发边界外9个单元详细规划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ZRD-2025XAZC643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铜川市王益区王益街道及桃园街道城镇开发边界外9个单元详细规划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陕西省城镇开发边界外单元层面详细规划编制指南(试行)》及《陕西省城镇开发边界外单元层面详细规划数据库标准(试行)》，边界外单元详规成果构成主要为规划文本、规划图件、数据库等。规划文本应包括目标指标、底线管控、规划分区与用途结构调整、建设用地布局、资源利用、设施配置、历史文化保护、国土综合整治与生态修复、规划指引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采购包1（铜川市王益区王益街道及桃园街道城镇开发边界外9个单元详细规划）：属于专门面向中小企业采购。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1、资格要求：供应商应授权合法的人员参加磋商，其中法定代表人直接参加的，须出具法人身份证，并与营业执照上信息一致；授权代表参加的，须出具法定代表人授权书及被授权人身份证 ；</w:t>
      </w:r>
    </w:p>
    <w:p>
      <w:pPr>
        <w:pStyle w:val="null3"/>
      </w:pPr>
      <w:r>
        <w:rPr>
          <w:rFonts w:ascii="仿宋_GB2312" w:hAnsi="仿宋_GB2312" w:cs="仿宋_GB2312" w:eastAsia="仿宋_GB2312"/>
        </w:rPr>
        <w:t>2、资格要求：供应商具有有效的城乡规划编制（国土空间规划）乙级及以上资质证书；</w:t>
      </w:r>
    </w:p>
    <w:p>
      <w:pPr>
        <w:pStyle w:val="null3"/>
      </w:pPr>
      <w:r>
        <w:rPr>
          <w:rFonts w:ascii="仿宋_GB2312" w:hAnsi="仿宋_GB2312" w:cs="仿宋_GB2312" w:eastAsia="仿宋_GB2312"/>
        </w:rPr>
        <w:t>3、资格要求：根据《财政部关于在政府采购活动中查询及使用信用记录有关问题的通知》（财库〔2016〕 125 号）文件要求，采购人或采购代理机构将通过“信用中国 ”网站（ www.creditchina.gov.cn ） 和 “ 中 国 政 府 采 购网”（www.ccgp.gov.cn）在资格审查阶段查询供应商信用记录，被列入失信被执行人、重大税收违法失信主体名单、政府采购严重违法失信行为记录名单的单位将被拒绝参与本项目投标；</w:t>
      </w:r>
    </w:p>
    <w:p>
      <w:pPr>
        <w:pStyle w:val="null3"/>
      </w:pPr>
      <w:r>
        <w:rPr>
          <w:rFonts w:ascii="仿宋_GB2312" w:hAnsi="仿宋_GB2312" w:cs="仿宋_GB2312" w:eastAsia="仿宋_GB2312"/>
        </w:rPr>
        <w:t>4、资格要求：本项目不接受任何形式的联合体磋商。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13992903176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西安市经济技术开发区凤城五路与明光路十字西北角恒石国际中心B座9楼902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兰工、郭工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18329928722、029-86263596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铜川市自然资源局王益分局</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铜川市自然资源局王益分局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根据国家、省市有关技术规范规程要求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联系人：兰工</w:t>
      </w:r>
    </w:p>
    <w:p>
      <w:pPr>
        <w:pStyle w:val="null3"/>
      </w:pPr>
      <w:r>
        <w:rPr>
          <w:rFonts w:ascii="仿宋_GB2312" w:hAnsi="仿宋_GB2312" w:cs="仿宋_GB2312" w:eastAsia="仿宋_GB2312"/>
        </w:rPr>
        <w:t>联系电话：18329928722</w:t>
      </w:r>
    </w:p>
    <w:p>
      <w:pPr>
        <w:pStyle w:val="null3"/>
      </w:pPr>
      <w:r>
        <w:rPr>
          <w:rFonts w:ascii="仿宋_GB2312" w:hAnsi="仿宋_GB2312" w:cs="仿宋_GB2312" w:eastAsia="仿宋_GB2312"/>
        </w:rPr>
        <w:t>地址：西安市经济技术开发区凤城五路明光路向西 200 米恒石国际 B 座 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陕西省城镇开发边界外单元层面详细规划编制指南(试行)》及《陕西省城镇开发边界外单元层面详细规划数据库标准(试行)》，边界外单元详规成果构成主要为规划文本、规划图件、数据库等。规划文本应包括目标指标、底线管控、规划分区与用途结构调整、建设用地布局、资源利用、设施配置、历史文化保护、国土综合整治与生态修复、规划指引等内容。规划图件主要包括现状图和规划图两类，可结合实际与单元划定类型选择相关图件。数据库参照《陕西省城镇开发边界外单元层面详细规划数据库标准(试行)》(见单行本)有关要求制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center"/>
            </w:pPr>
            <w:r>
              <w:rPr>
                <w:rFonts w:ascii="仿宋_GB2312" w:hAnsi="仿宋_GB2312" w:cs="仿宋_GB2312" w:eastAsia="仿宋_GB2312"/>
                <w:sz w:val="15"/>
                <w:b/>
              </w:rPr>
              <w:t>铜川市王益区王益街道及桃园街道城镇开发边界外</w:t>
            </w:r>
            <w:r>
              <w:rPr>
                <w:rFonts w:ascii="仿宋_GB2312" w:hAnsi="仿宋_GB2312" w:cs="仿宋_GB2312" w:eastAsia="仿宋_GB2312"/>
                <w:sz w:val="15"/>
                <w:b/>
              </w:rPr>
              <w:t>9个单元详细规划采购内容及要求</w:t>
            </w:r>
          </w:p>
          <w:p>
            <w:pPr>
              <w:pStyle w:val="null3"/>
              <w:jc w:val="both"/>
            </w:pPr>
            <w:r>
              <w:rPr>
                <w:rFonts w:ascii="仿宋_GB2312" w:hAnsi="仿宋_GB2312" w:cs="仿宋_GB2312" w:eastAsia="仿宋_GB2312"/>
                <w:sz w:val="15"/>
                <w:b/>
              </w:rPr>
              <w:t>一、项目背景</w:t>
            </w:r>
          </w:p>
          <w:p>
            <w:pPr>
              <w:pStyle w:val="null3"/>
              <w:ind w:firstLine="560"/>
              <w:jc w:val="both"/>
            </w:pPr>
            <w:r>
              <w:rPr>
                <w:rFonts w:ascii="仿宋_GB2312" w:hAnsi="仿宋_GB2312" w:cs="仿宋_GB2312" w:eastAsia="仿宋_GB2312"/>
                <w:sz w:val="15"/>
              </w:rPr>
              <w:t>以中共中央国务院《关于建立国土空间规划体系并监督实施的若干意见》为根本遵循，严格坚守</w:t>
            </w:r>
            <w:r>
              <w:rPr>
                <w:rFonts w:ascii="仿宋_GB2312" w:hAnsi="仿宋_GB2312" w:cs="仿宋_GB2312" w:eastAsia="仿宋_GB2312"/>
                <w:sz w:val="15"/>
              </w:rPr>
              <w:t>“三区三线”。自然资源部系列文件《关于加强国土空间详细规划工作的通知》、《关于做好城镇开发边界管理的通知》等明确要求，将详细规划范围扩展至城镇开发边界外，并对允许布局的零星城镇建设用地实行“正面清单”管理。</w:t>
            </w:r>
          </w:p>
          <w:p>
            <w:pPr>
              <w:pStyle w:val="null3"/>
              <w:ind w:firstLine="560"/>
              <w:jc w:val="both"/>
            </w:pPr>
            <w:r>
              <w:rPr>
                <w:rFonts w:ascii="仿宋_GB2312" w:hAnsi="仿宋_GB2312" w:cs="仿宋_GB2312" w:eastAsia="仿宋_GB2312"/>
                <w:sz w:val="15"/>
              </w:rPr>
              <w:t>2024 年起，陕西省自然资源厅陆续出台《陕西省国土空间规划传导指引(试行)》、《陕西省国土空间规划传导细则(试行)》，明确详细规划分为单元层面详细规划与实施层面详细规划(地块/村庄规划),详细规划是实施国土空间用途管制和核发建设用地规划许可证、建设工程规划许可证、乡村建设规划许可证等城乡建设项目规划许可以及实施城乡开发建设、整治更新、保护修复活动的法定依据，是优化城乡空间结构、完善功能配置、激发发展活力的实施性政策工具。</w:t>
            </w:r>
          </w:p>
          <w:p>
            <w:pPr>
              <w:pStyle w:val="null3"/>
              <w:jc w:val="both"/>
            </w:pPr>
            <w:r>
              <w:rPr>
                <w:rFonts w:ascii="仿宋_GB2312" w:hAnsi="仿宋_GB2312" w:cs="仿宋_GB2312" w:eastAsia="仿宋_GB2312"/>
                <w:sz w:val="15"/>
                <w:b/>
              </w:rPr>
              <w:t>二、主要目标</w:t>
            </w:r>
          </w:p>
          <w:p>
            <w:pPr>
              <w:pStyle w:val="null3"/>
              <w:ind w:firstLine="560"/>
              <w:jc w:val="both"/>
            </w:pPr>
            <w:r>
              <w:rPr>
                <w:rFonts w:ascii="仿宋_GB2312" w:hAnsi="仿宋_GB2312" w:cs="仿宋_GB2312" w:eastAsia="仿宋_GB2312"/>
                <w:sz w:val="15"/>
              </w:rPr>
              <w:t>将上位国土空间总体规划的宏观目标、指标和管控要求，分解并落实到具体空间单元，确保</w:t>
            </w:r>
            <w:r>
              <w:rPr>
                <w:rFonts w:ascii="仿宋_GB2312" w:hAnsi="仿宋_GB2312" w:cs="仿宋_GB2312" w:eastAsia="仿宋_GB2312"/>
                <w:sz w:val="15"/>
              </w:rPr>
              <w:t>“总体规划能落地、详细规划有依据”。通过单元详细规划，明确各地块用途、容量、风貌等管控要求，成为核发乡村建设规划许可证的法定依据，实现“一张蓝图管到底”。此外，在严守底线的前提下，通过科学规划保障农村产业融合、人居环境整治、基础设施建设等项目的合理空间需求，为乡村振兴战略的实施提供精准的空间赋能和要素保障。</w:t>
            </w:r>
          </w:p>
          <w:p>
            <w:pPr>
              <w:pStyle w:val="null3"/>
              <w:jc w:val="both"/>
            </w:pPr>
            <w:r>
              <w:rPr>
                <w:rFonts w:ascii="仿宋_GB2312" w:hAnsi="仿宋_GB2312" w:cs="仿宋_GB2312" w:eastAsia="仿宋_GB2312"/>
                <w:sz w:val="15"/>
                <w:b/>
              </w:rPr>
              <w:t>三、采购内容</w:t>
            </w:r>
          </w:p>
          <w:p>
            <w:pPr>
              <w:pStyle w:val="null3"/>
              <w:ind w:firstLine="560"/>
              <w:jc w:val="both"/>
            </w:pPr>
            <w:r>
              <w:rPr>
                <w:rFonts w:ascii="仿宋_GB2312" w:hAnsi="仿宋_GB2312" w:cs="仿宋_GB2312" w:eastAsia="仿宋_GB2312"/>
                <w:sz w:val="15"/>
              </w:rPr>
              <w:t>依据《陕西省城镇开发边界外单元层面详细规划编制指南</w:t>
            </w:r>
            <w:r>
              <w:rPr>
                <w:rFonts w:ascii="仿宋_GB2312" w:hAnsi="仿宋_GB2312" w:cs="仿宋_GB2312" w:eastAsia="仿宋_GB2312"/>
                <w:sz w:val="15"/>
              </w:rPr>
              <w:t>(试行)》及《陕西省城镇开发边界外单元层面详细规划数据库标准(试行)》，边界外单元详规成果构成主要为规划文本、规划图件、数据库等。规划文本应包括目标指标、底线管控、规划分区与用途结构调整、建设用地布局、资源利用、设施配置、历史文化保护、国土综合整治与生态修复、规划指引等内容。规划图件主要包括现状图和规划图两类，</w:t>
            </w:r>
            <w:r>
              <w:rPr>
                <w:rFonts w:ascii="仿宋_GB2312" w:hAnsi="仿宋_GB2312" w:cs="仿宋_GB2312" w:eastAsia="仿宋_GB2312"/>
                <w:sz w:val="15"/>
              </w:rPr>
              <w:t>可结合实际与单元划定类型选择相关图件。数</w:t>
            </w:r>
            <w:r>
              <w:rPr>
                <w:rFonts w:ascii="仿宋_GB2312" w:hAnsi="仿宋_GB2312" w:cs="仿宋_GB2312" w:eastAsia="仿宋_GB2312"/>
                <w:sz w:val="15"/>
              </w:rPr>
              <w:t>据库参照《陕西省城镇开发边界外单元层面详细规划数据库标准</w:t>
            </w:r>
            <w:r>
              <w:rPr>
                <w:rFonts w:ascii="仿宋_GB2312" w:hAnsi="仿宋_GB2312" w:cs="仿宋_GB2312" w:eastAsia="仿宋_GB2312"/>
                <w:sz w:val="15"/>
              </w:rPr>
              <w:t>(试行)》(见单行本)有关要求制定。</w:t>
            </w:r>
          </w:p>
          <w:p>
            <w:pPr>
              <w:pStyle w:val="null3"/>
              <w:ind w:firstLine="562"/>
              <w:jc w:val="both"/>
            </w:pPr>
            <w:r>
              <w:rPr>
                <w:rFonts w:ascii="仿宋_GB2312" w:hAnsi="仿宋_GB2312" w:cs="仿宋_GB2312" w:eastAsia="仿宋_GB2312"/>
                <w:sz w:val="15"/>
                <w:b/>
              </w:rPr>
              <w:t>1、资料收集</w:t>
            </w:r>
          </w:p>
          <w:p>
            <w:pPr>
              <w:pStyle w:val="null3"/>
              <w:ind w:firstLine="560"/>
              <w:jc w:val="both"/>
            </w:pPr>
            <w:r>
              <w:rPr>
                <w:rFonts w:ascii="仿宋_GB2312" w:hAnsi="仿宋_GB2312" w:cs="仿宋_GB2312" w:eastAsia="仿宋_GB2312"/>
                <w:sz w:val="15"/>
              </w:rPr>
              <w:t>完成</w:t>
            </w:r>
            <w:r>
              <w:rPr>
                <w:rFonts w:ascii="仿宋_GB2312" w:hAnsi="仿宋_GB2312" w:cs="仿宋_GB2312" w:eastAsia="仿宋_GB2312"/>
                <w:sz w:val="15"/>
              </w:rPr>
              <w:t>“三区三线”划定成果及近年来年度国家下发国土变更调查、遥感影像及数据库成果、单元划定成果、上位规划及相关规划成果及数据库、重点项目等资料收集。</w:t>
            </w:r>
          </w:p>
          <w:p>
            <w:pPr>
              <w:pStyle w:val="null3"/>
              <w:ind w:firstLine="562"/>
              <w:jc w:val="both"/>
            </w:pPr>
            <w:r>
              <w:rPr>
                <w:rFonts w:ascii="仿宋_GB2312" w:hAnsi="仿宋_GB2312" w:cs="仿宋_GB2312" w:eastAsia="仿宋_GB2312"/>
                <w:sz w:val="15"/>
                <w:b/>
              </w:rPr>
              <w:t>2、现状调研与分析</w:t>
            </w:r>
          </w:p>
          <w:p>
            <w:pPr>
              <w:pStyle w:val="null3"/>
              <w:ind w:firstLine="560"/>
              <w:jc w:val="both"/>
            </w:pPr>
            <w:r>
              <w:rPr>
                <w:rFonts w:ascii="仿宋_GB2312" w:hAnsi="仿宋_GB2312" w:cs="仿宋_GB2312" w:eastAsia="仿宋_GB2312"/>
                <w:sz w:val="15"/>
              </w:rPr>
              <w:t>通过与项目范围内街道及各村负责人的沟通，梳理街道、村现存问题、用地需求、重点项目等项目座谈及现场踏勘调研，进行各单元现状调研及分析。</w:t>
            </w:r>
          </w:p>
          <w:p>
            <w:pPr>
              <w:pStyle w:val="null3"/>
              <w:ind w:firstLine="562"/>
              <w:jc w:val="both"/>
            </w:pPr>
            <w:r>
              <w:rPr>
                <w:rFonts w:ascii="仿宋_GB2312" w:hAnsi="仿宋_GB2312" w:cs="仿宋_GB2312" w:eastAsia="仿宋_GB2312"/>
                <w:sz w:val="15"/>
                <w:b/>
              </w:rPr>
              <w:t>3、上位及相关规划落实</w:t>
            </w:r>
          </w:p>
          <w:p>
            <w:pPr>
              <w:pStyle w:val="null3"/>
              <w:ind w:firstLine="560"/>
              <w:jc w:val="both"/>
            </w:pPr>
            <w:r>
              <w:rPr>
                <w:rFonts w:ascii="仿宋_GB2312" w:hAnsi="仿宋_GB2312" w:cs="仿宋_GB2312" w:eastAsia="仿宋_GB2312"/>
                <w:sz w:val="15"/>
              </w:rPr>
              <w:t>通过与上位规划、专项规划及相关规划的衔接，明确各单元重点项目及发展方向，明确单元功能定位、类型与发展目标，衔接上位规划要求，细化</w:t>
            </w:r>
            <w:r>
              <w:rPr>
                <w:rFonts w:ascii="仿宋_GB2312" w:hAnsi="仿宋_GB2312" w:cs="仿宋_GB2312" w:eastAsia="仿宋_GB2312"/>
                <w:sz w:val="15"/>
              </w:rPr>
              <w:t>”三区三线"管控规则,落实刚性约束条件。</w:t>
            </w:r>
          </w:p>
          <w:p>
            <w:pPr>
              <w:pStyle w:val="null3"/>
              <w:ind w:firstLine="562"/>
              <w:jc w:val="both"/>
            </w:pPr>
            <w:r>
              <w:rPr>
                <w:rFonts w:ascii="仿宋_GB2312" w:hAnsi="仿宋_GB2312" w:cs="仿宋_GB2312" w:eastAsia="仿宋_GB2312"/>
                <w:sz w:val="15"/>
                <w:b/>
              </w:rPr>
              <w:t>4、方案衔接落实</w:t>
            </w:r>
          </w:p>
          <w:p>
            <w:pPr>
              <w:pStyle w:val="null3"/>
              <w:ind w:firstLine="560"/>
              <w:jc w:val="both"/>
            </w:pPr>
            <w:r>
              <w:rPr>
                <w:rFonts w:ascii="仿宋_GB2312" w:hAnsi="仿宋_GB2312" w:cs="仿宋_GB2312" w:eastAsia="仿宋_GB2312"/>
                <w:sz w:val="15"/>
              </w:rPr>
              <w:t>与区级部门及街道、村庄等进行需落实项目沟通确认，细化用地方案。</w:t>
            </w:r>
          </w:p>
          <w:p>
            <w:pPr>
              <w:pStyle w:val="null3"/>
              <w:ind w:firstLine="562"/>
              <w:jc w:val="both"/>
            </w:pPr>
            <w:r>
              <w:rPr>
                <w:rFonts w:ascii="仿宋_GB2312" w:hAnsi="仿宋_GB2312" w:cs="仿宋_GB2312" w:eastAsia="仿宋_GB2312"/>
                <w:sz w:val="15"/>
                <w:b/>
              </w:rPr>
              <w:t>5、方案深化</w:t>
            </w:r>
          </w:p>
          <w:p>
            <w:pPr>
              <w:pStyle w:val="null3"/>
              <w:ind w:firstLine="560"/>
              <w:jc w:val="both"/>
            </w:pPr>
            <w:r>
              <w:rPr>
                <w:rFonts w:ascii="仿宋_GB2312" w:hAnsi="仿宋_GB2312" w:cs="仿宋_GB2312" w:eastAsia="仿宋_GB2312"/>
                <w:sz w:val="15"/>
              </w:rPr>
              <w:t>优化用地布局方案，统筹生产、生活、生态空间，完善公共服务设施和基础设施配置标准，制定建筑高度、密度、风貌等乡村设计管控要求，提出分期实施计划和近期建设重点。</w:t>
            </w:r>
          </w:p>
          <w:p>
            <w:pPr>
              <w:pStyle w:val="null3"/>
              <w:ind w:firstLine="562"/>
              <w:jc w:val="both"/>
            </w:pPr>
            <w:r>
              <w:rPr>
                <w:rFonts w:ascii="仿宋_GB2312" w:hAnsi="仿宋_GB2312" w:cs="仿宋_GB2312" w:eastAsia="仿宋_GB2312"/>
                <w:sz w:val="15"/>
                <w:b/>
              </w:rPr>
              <w:t>6、规划成果编制</w:t>
            </w:r>
          </w:p>
          <w:p>
            <w:pPr>
              <w:pStyle w:val="null3"/>
              <w:ind w:firstLine="560"/>
              <w:jc w:val="both"/>
            </w:pPr>
            <w:r>
              <w:rPr>
                <w:rFonts w:ascii="仿宋_GB2312" w:hAnsi="仿宋_GB2312" w:cs="仿宋_GB2312" w:eastAsia="仿宋_GB2312"/>
                <w:sz w:val="15"/>
              </w:rPr>
              <w:t>编制规划文本、图件及数据库。</w:t>
            </w:r>
          </w:p>
          <w:p>
            <w:pPr>
              <w:pStyle w:val="null3"/>
              <w:ind w:firstLine="562"/>
              <w:jc w:val="both"/>
            </w:pPr>
            <w:r>
              <w:rPr>
                <w:rFonts w:ascii="仿宋_GB2312" w:hAnsi="仿宋_GB2312" w:cs="仿宋_GB2312" w:eastAsia="仿宋_GB2312"/>
                <w:sz w:val="15"/>
                <w:b/>
              </w:rPr>
              <w:t>7、质量检查及成果汇交</w:t>
            </w:r>
          </w:p>
          <w:p>
            <w:pPr>
              <w:pStyle w:val="null3"/>
              <w:ind w:firstLine="560"/>
              <w:jc w:val="both"/>
            </w:pPr>
            <w:r>
              <w:rPr>
                <w:rFonts w:ascii="仿宋_GB2312" w:hAnsi="仿宋_GB2312" w:cs="仿宋_GB2312" w:eastAsia="仿宋_GB2312"/>
                <w:sz w:val="15"/>
              </w:rPr>
              <w:t>在成果提交前进行数据库质检，保证数据完整性、标准符合性、数据一致性、空间拓扑及业务符合性等方面的质量，成果数据应符合</w:t>
            </w:r>
            <w:r>
              <w:rPr>
                <w:rFonts w:ascii="仿宋_GB2312" w:hAnsi="仿宋_GB2312" w:cs="仿宋_GB2312" w:eastAsia="仿宋_GB2312"/>
                <w:sz w:val="15"/>
              </w:rPr>
              <w:t>“一张图”的数据内容、格式和命名要求等。</w:t>
            </w:r>
          </w:p>
          <w:p>
            <w:pPr>
              <w:pStyle w:val="null3"/>
              <w:jc w:val="both"/>
            </w:pPr>
            <w:r>
              <w:rPr>
                <w:rFonts w:ascii="仿宋_GB2312" w:hAnsi="仿宋_GB2312" w:cs="仿宋_GB2312" w:eastAsia="仿宋_GB2312"/>
                <w:sz w:val="15"/>
                <w:b/>
              </w:rPr>
              <w:t>四、规划编制范围</w:t>
            </w:r>
          </w:p>
          <w:p>
            <w:pPr>
              <w:pStyle w:val="null3"/>
              <w:ind w:firstLine="420"/>
              <w:jc w:val="both"/>
            </w:pPr>
            <w:r>
              <w:rPr>
                <w:rFonts w:ascii="仿宋_GB2312" w:hAnsi="仿宋_GB2312" w:cs="仿宋_GB2312" w:eastAsia="仿宋_GB2312"/>
                <w:sz w:val="15"/>
              </w:rPr>
              <w:t>本次规划编制范围共计</w:t>
            </w:r>
            <w:r>
              <w:rPr>
                <w:rFonts w:ascii="仿宋_GB2312" w:hAnsi="仿宋_GB2312" w:cs="仿宋_GB2312" w:eastAsia="仿宋_GB2312"/>
                <w:sz w:val="15"/>
              </w:rPr>
              <w:t>9个单元，其中王益街道8个单元，桃园街道1个单元，用地面积共计29.98平方公里。</w:t>
            </w:r>
          </w:p>
          <w:p>
            <w:pPr>
              <w:pStyle w:val="null3"/>
              <w:jc w:val="both"/>
            </w:pPr>
            <w:r>
              <w:rPr>
                <w:rFonts w:ascii="仿宋_GB2312" w:hAnsi="仿宋_GB2312" w:cs="仿宋_GB2312" w:eastAsia="仿宋_GB2312"/>
                <w:sz w:val="15"/>
                <w:b/>
              </w:rPr>
              <w:t>五、商务要求</w:t>
            </w:r>
          </w:p>
          <w:p>
            <w:pPr>
              <w:pStyle w:val="null3"/>
              <w:ind w:firstLine="420"/>
              <w:jc w:val="both"/>
            </w:pPr>
            <w:r>
              <w:rPr>
                <w:rFonts w:ascii="仿宋_GB2312" w:hAnsi="仿宋_GB2312" w:cs="仿宋_GB2312" w:eastAsia="仿宋_GB2312"/>
                <w:sz w:val="15"/>
              </w:rPr>
              <w:t>1、交付期：自合同签订之日起90日历天。</w:t>
            </w:r>
          </w:p>
          <w:p>
            <w:pPr>
              <w:pStyle w:val="null3"/>
              <w:ind w:firstLine="420"/>
              <w:jc w:val="both"/>
            </w:pPr>
            <w:r>
              <w:rPr>
                <w:rFonts w:ascii="仿宋_GB2312" w:hAnsi="仿宋_GB2312" w:cs="仿宋_GB2312" w:eastAsia="仿宋_GB2312"/>
                <w:sz w:val="15"/>
              </w:rPr>
              <w:t>2、交付内容：包括规划成果的电子文档1份和正式印刷文本1份。</w:t>
            </w:r>
          </w:p>
          <w:p>
            <w:pPr>
              <w:pStyle w:val="null3"/>
              <w:ind w:firstLine="420"/>
              <w:jc w:val="both"/>
            </w:pPr>
            <w:r>
              <w:rPr>
                <w:rFonts w:ascii="仿宋_GB2312" w:hAnsi="仿宋_GB2312" w:cs="仿宋_GB2312" w:eastAsia="仿宋_GB2312"/>
                <w:sz w:val="15"/>
              </w:rPr>
              <w:t>3、交付条件：根据国家、省市有关技术规范规程要求。</w:t>
            </w:r>
          </w:p>
          <w:p>
            <w:pPr>
              <w:pStyle w:val="null3"/>
              <w:ind w:firstLine="42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合同签订后乙方向甲方出具等额增值税(专用/普通)发票，甲方在收到乙方提供发票后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项目通过专家评审且上报审批后乙方向甲方出具等额增值税(专用/普通)发票，甲方在收到乙方提供发票后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项目获得批复后乙方出具等额增值税(专用/普通)发票，甲方在收到乙方提供发票后结清全部规划设计费用，乙方即提交全部规划设计成果</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以合同签订内容为准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供应商需在项目电子化交易系统中按要求填写《投标函》完成承诺并进行电子签章并提供以下证明资料（1）供应商具有独立承担民事责任能力的法人、事业单位或其他组织。供应商应提 供合法有效的标识有统一社会信用代码的营业执照或事业单位法人证书等国家规定的相关证明； （2）具有依法缴纳税收和社会保障资金的良好记录，提供本单位 2025年1月至今任意1个月的依法缴纳税收和社会保障资金证明的材料，投标人成立不满3个月的，则提供自成立日以来的任意1个月纳税和社保证明材料；（3）财务状况报告：提供2024年度财务审计报告（成立时间至提交投标文件截止时间不足一年的可提供成立后任意时段的资产负债表），或其开标前半年内基本存款账户开户银行出具的资信证明及基本存款账户开户许可证； （4）参加政府采购活动前三年内，在经营活动中没有重大违法记录的书面声明；</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提供2024年度财务审计报告（成立时间至提交投标文件截止时间不足一年的可提供成立后任意时段的资产负债表），或其开标前半年内基本存款账户开户银行出具的资信证明及基本存款账户开户许可证；</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供应商应授权合法的人员参加磋商，其中法定代表人直接参加的，须出具法人身份证，并与营业执照上信息一致；授权代表参加的，须出具法定代表人授权书及被授权人身份证 ；</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供应商具有有效的城乡规划编制（国土空间规划）乙级及以上资质证书；</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 125 号）文件要求，采购人或采购代理机构将通过“信用中国 ”网站（ www.creditchina.gov.cn ） 和 “ 中 国 政 府 采 购网”（www.ccgp.gov.cn）在资格审查阶段查询供应商信用记录，被列入失信被执行人、重大税收违法失信主体名单、政府采购严重违法失信行为记录名单的单位将被拒绝参与本项目投标；</w:t>
            </w:r>
          </w:p>
        </w:tc>
        <w:tc>
          <w:tcPr>
            <w:tcW w:type="dxa" w:w="1661"/>
          </w:tcPr>
          <w:p>
            <w:pPr>
              <w:pStyle w:val="null3"/>
            </w:pPr>
            <w:r>
              <w:rPr>
                <w:rFonts w:ascii="仿宋_GB2312" w:hAnsi="仿宋_GB2312" w:cs="仿宋_GB2312" w:eastAsia="仿宋_GB2312"/>
              </w:rPr>
              <w:t>一、资格审查资料docx.docx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本项目不接受任何形式的联合体磋商。</w:t>
            </w:r>
          </w:p>
        </w:tc>
        <w:tc>
          <w:tcPr>
            <w:tcW w:type="dxa" w:w="1661"/>
          </w:tcPr>
          <w:p>
            <w:pPr>
              <w:pStyle w:val="null3"/>
            </w:pPr>
            <w:r>
              <w:rPr>
                <w:rFonts w:ascii="仿宋_GB2312" w:hAnsi="仿宋_GB2312" w:cs="仿宋_GB2312" w:eastAsia="仿宋_GB2312"/>
              </w:rPr>
              <w:t>一、资格审查资料docx.docx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不存在法律、法规和采购文件规定的其他无效磋商情形</w:t>
            </w:r>
          </w:p>
        </w:tc>
        <w:tc>
          <w:tcPr>
            <w:tcW w:type="dxa" w:w="1661"/>
          </w:tcPr>
          <w:p>
            <w:pPr>
              <w:pStyle w:val="null3"/>
            </w:pPr>
            <w:r>
              <w:rPr>
                <w:rFonts w:ascii="仿宋_GB2312" w:hAnsi="仿宋_GB2312" w:cs="仿宋_GB2312" w:eastAsia="仿宋_GB2312"/>
              </w:rPr>
              <w:t>响应文件封面 一、资格审查资料docx.docx 三、服务方案.docx 中小企业声明函 残疾人福利性单位声明函 标的清单 报价表 响应函 四、承诺书docx.docx 监狱企业的证明文件 二、商务及技术响应偏离表docx.docx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内容至少包括：①规划背景②规划意义及规划原则③相关政策解读。以上内容专门针对本项目实际需求的得12分，每缺一项内容扣4分，若上述内容存在瑕疵，每存在1处瑕疵扣1分，每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基础准备</w:t>
            </w:r>
          </w:p>
        </w:tc>
        <w:tc>
          <w:tcPr>
            <w:tcW w:type="dxa" w:w="2492"/>
          </w:tcPr>
          <w:p>
            <w:pPr>
              <w:pStyle w:val="null3"/>
            </w:pPr>
            <w:r>
              <w:rPr>
                <w:rFonts w:ascii="仿宋_GB2312" w:hAnsi="仿宋_GB2312" w:cs="仿宋_GB2312" w:eastAsia="仿宋_GB2312"/>
              </w:rPr>
              <w:t>内容至少包括：①工作任务及工作内容②基础工作准备③现状基础认知④未来发展趋势。以上内容专门针对本项目实际需求的得16分，每缺一项内容扣4分，若上述内容存在瑕疵，每存在1处瑕疵扣1分，每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总体工作方案</w:t>
            </w:r>
          </w:p>
        </w:tc>
        <w:tc>
          <w:tcPr>
            <w:tcW w:type="dxa" w:w="2492"/>
          </w:tcPr>
          <w:p>
            <w:pPr>
              <w:pStyle w:val="null3"/>
            </w:pPr>
            <w:r>
              <w:rPr>
                <w:rFonts w:ascii="仿宋_GB2312" w:hAnsi="仿宋_GB2312" w:cs="仿宋_GB2312" w:eastAsia="仿宋_GB2312"/>
              </w:rPr>
              <w:t>内容至少包括：①总体工作思路②重难点分析③解决措施及对策④技术方案。以上内容专门针对本项目实际需求的得16分，每缺一项内容扣4分，若上述内容存在瑕疵，每存在1处瑕疵扣2分，每 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内容至少包括：①服务期限②服务内容③服务承诺。 以上内容专门针对本项目实际需求的得6分，每缺一项内容扣2分，若上述内容存在瑕疵，每存在1处瑕疵扣0.5分，每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进度计划保障方案</w:t>
            </w:r>
          </w:p>
        </w:tc>
        <w:tc>
          <w:tcPr>
            <w:tcW w:type="dxa" w:w="2492"/>
          </w:tcPr>
          <w:p>
            <w:pPr>
              <w:pStyle w:val="null3"/>
            </w:pPr>
            <w:r>
              <w:rPr>
                <w:rFonts w:ascii="仿宋_GB2312" w:hAnsi="仿宋_GB2312" w:cs="仿宋_GB2312" w:eastAsia="仿宋_GB2312"/>
              </w:rPr>
              <w:t>内容至少包括：①项目实施进度目标分析②提供合理的工作计划及时间节点③项目进度保障措施。以上内容专门针对本项目实际需求的得6分，每缺一项内容扣2分，若上述内容存在瑕疵，每存在1处瑕疵扣1分，每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内容至少包括：①岗位制度：具有岗位职责、服务质量标准；②内控制度：具有管理组织机构、内部管理制度、监督机制；③人员管理制度：具有员工日常管理办法、奖惩措施。 以上内容专门针对本项目实际需求的得6分，每缺一项内容扣2分，若上述内容存在瑕疵，每存在1处瑕疵扣1分，每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服务质量目标及质量管理制度②成果文件质量保障措施③内部管控流程合理。以上内容专门针对本项目实际需求的得6分，每缺一项内容扣2分，若上述内容存在瑕疵，每存在1处瑕疵扣1分，每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本项目负责人具有城市（或城乡）规划专业高级工程师及以上职称、同时具备注册城市（或城乡）规划师得3分，未提供或提供不齐全不得分；（提供项目人员职称证书及相关证书复印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1、除项目负责人外，配备团队成员为相关专业高级及以上职称，每提供1个完全满足以上要求的人员得1分，此项满分3分，不满足要求不得分； 2、配备团队成员为相关专业中级职称，每提供1个满足以上要求的人员得0.5分，此项满分3分，不满足要求不得分。 （以上提及的相关专业职称为城市（城乡）规划和市政工程等相关专业职称。提供项目人员职称证书复印件加盖公章、相关证书复印件加盖公章未提供不得分）。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保密工作</w:t>
            </w:r>
          </w:p>
        </w:tc>
        <w:tc>
          <w:tcPr>
            <w:tcW w:type="dxa" w:w="2492"/>
          </w:tcPr>
          <w:p>
            <w:pPr>
              <w:pStyle w:val="null3"/>
            </w:pPr>
            <w:r>
              <w:rPr>
                <w:rFonts w:ascii="仿宋_GB2312" w:hAnsi="仿宋_GB2312" w:cs="仿宋_GB2312" w:eastAsia="仿宋_GB2312"/>
              </w:rPr>
              <w:t>内容至少包括：①保密管理方案②保密制度体系③保密措施④保密承诺。以上内容专门针对本项目实际需求的得4分，每缺一项内容扣1分，若上述内容存在瑕疵，每存在1处瑕疵扣0.5分，每个评分点最低0分。“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建议清晰、合理、完整、细节考虑到位且切实可行，得 3 分； 建议简单、可行性存在一定瑕疵，得 2 分； 建议存在严重缺漏，不具备合理性，得 1 分； 未提供相关内容不得分。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提供供应商2022年1月至截标时间前类似项目业绩（以合同签订日期为准），每提供1份计2分，满分6分。 备注：业绩证明（以合同签订或中标通知书时间为准，须在招标文件中附合同的扫描件或中标通知书等相关证明文件）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三、服务方案.docx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综合评分法中的价格分统一采用低价优先法计算，即满足招标文件要求且最后报价最低的供应商的报价为评标基准价，其价格分为满分。其他供应商的价格得分统一按照下列 公式计算： 报价得分=（评标基准价/最后报价） ×最大分值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详见附件：一、资格审查资料docx.docx</w:t>
      </w:r>
    </w:p>
    <w:p>
      <w:pPr>
        <w:pStyle w:val="null3"/>
        <w:ind w:firstLine="960"/>
      </w:pPr>
      <w:r>
        <w:rPr>
          <w:rFonts w:ascii="仿宋_GB2312" w:hAnsi="仿宋_GB2312" w:cs="仿宋_GB2312" w:eastAsia="仿宋_GB2312"/>
        </w:rPr>
        <w:t>详见附件：二、商务及技术响应偏离表docx.docx</w:t>
      </w:r>
    </w:p>
    <w:p>
      <w:pPr>
        <w:pStyle w:val="null3"/>
        <w:ind w:firstLine="960"/>
      </w:pPr>
      <w:r>
        <w:rPr>
          <w:rFonts w:ascii="仿宋_GB2312" w:hAnsi="仿宋_GB2312" w:cs="仿宋_GB2312" w:eastAsia="仿宋_GB2312"/>
        </w:rPr>
        <w:t>详见附件：三、服务方案.docx</w:t>
      </w:r>
    </w:p>
    <w:p>
      <w:pPr>
        <w:pStyle w:val="null3"/>
        <w:ind w:firstLine="960"/>
      </w:pPr>
      <w:r>
        <w:rPr>
          <w:rFonts w:ascii="仿宋_GB2312" w:hAnsi="仿宋_GB2312" w:cs="仿宋_GB2312" w:eastAsia="仿宋_GB2312"/>
        </w:rPr>
        <w:t>详见附件：四、承诺书docx.docx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