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版本号：TCZFCG-2025-0103020260108002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2026年物业服务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TCZFCG-2025-01030</w:t>
      </w:r>
      <w:r>
        <w:br/>
      </w:r>
      <w:r>
        <w:br/>
      </w:r>
      <w:r>
        <w:br/>
      </w:r>
    </w:p>
    <w:p>
      <w:pPr>
        <w:pStyle w:val="null3"/>
        <w:jc w:val="center"/>
        <w:outlineLvl w:val="2"/>
      </w:pPr>
      <w:r>
        <w:rPr>
          <w:rFonts w:ascii="仿宋_GB2312" w:hAnsi="仿宋_GB2312" w:cs="仿宋_GB2312" w:eastAsia="仿宋_GB2312"/>
          <w:sz w:val="28"/>
          <w:b/>
        </w:rPr>
        <w:t>铜川市实验中学</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铜川市实验中学</w:t>
      </w:r>
      <w:r>
        <w:rPr>
          <w:rFonts w:ascii="仿宋_GB2312" w:hAnsi="仿宋_GB2312" w:cs="仿宋_GB2312" w:eastAsia="仿宋_GB2312"/>
        </w:rPr>
        <w:t>委托，拟对</w:t>
      </w:r>
      <w:r>
        <w:rPr>
          <w:rFonts w:ascii="仿宋_GB2312" w:hAnsi="仿宋_GB2312" w:cs="仿宋_GB2312" w:eastAsia="仿宋_GB2312"/>
        </w:rPr>
        <w:t>2026年物业服务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TCZFCG-2025-01030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2026年物业服务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学校占地面积46119平方米，在校师生2500多名，学校拥有两栋教学楼，男女生宿舍楼，400标准田径场地，以及一个室内体育馆，学校出入口两个。 本服务涉及房屋本体及公共区域环境保洁、公寓管理、安全秩序、宿舍管理、绿化围护、后勤管理等一体化物业管理服务。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采购包1（2026年物业服务）：属于专门面向中小企业采购。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铜川市实验中学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铜川市耀州区大唐五路与旺旺路交叉口东 200 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0919-3235031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铜川市实验中学</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铜川市实验中学</w:t>
      </w:r>
      <w:r>
        <w:rPr>
          <w:rFonts w:ascii="仿宋_GB2312" w:hAnsi="仿宋_GB2312" w:cs="仿宋_GB2312" w:eastAsia="仿宋_GB2312"/>
        </w:rPr>
        <w:t>负责解释。除上述招标文件内容，其他内容由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铜川市实验中学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以双方认可和确认的考核结果为准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铜川市实验中学</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学校占地面积46119平方米，在校师生2500多名，学校拥有两栋教学楼，男女生宿舍楼，400标准田径场地，以及一个室内体育馆，学校出入口两个。 本服务涉及房屋本体及公共区域环境保洁、公寓管理、安全秩序、宿舍管理、绿化围护、后勤管理等一体化物业管理服务。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铜川市实验中学2026年物业服务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标的名称：铜川市实验中学2026年物业服务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门岗响应速度：</w:t>
            </w:r>
            <w:r>
              <w:rPr>
                <w:rFonts w:ascii="仿宋_GB2312" w:hAnsi="仿宋_GB2312" w:cs="仿宋_GB2312" w:eastAsia="仿宋_GB2312"/>
                <w:sz w:val="20"/>
              </w:rPr>
              <w:t>外来人员/车辆入校登记≤90秒（高峰时段≤120秒），</w:t>
            </w:r>
            <w:r>
              <w:rPr>
                <w:rFonts w:ascii="仿宋_GB2312" w:hAnsi="仿宋_GB2312" w:cs="仿宋_GB2312" w:eastAsia="仿宋_GB2312"/>
                <w:sz w:val="20"/>
              </w:rPr>
              <w:t>随机抽查录像（每月≥5次）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电子巡更覆盖率：</w:t>
            </w:r>
            <w:r>
              <w:rPr>
                <w:rFonts w:ascii="仿宋_GB2312" w:hAnsi="仿宋_GB2312" w:cs="仿宋_GB2312" w:eastAsia="仿宋_GB2312"/>
                <w:sz w:val="20"/>
              </w:rPr>
              <w:t>教学区/宿舍区每日巡更点≥8个，轨迹留存率100%，</w:t>
            </w:r>
            <w:r>
              <w:rPr>
                <w:rFonts w:ascii="仿宋_GB2312" w:hAnsi="仿宋_GB2312" w:cs="仿宋_GB2312" w:eastAsia="仿宋_GB2312"/>
                <w:sz w:val="20"/>
              </w:rPr>
              <w:t>巡更系统数据导出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rPr>
              <w:t>监控有效运行率：</w:t>
            </w:r>
            <w:r>
              <w:rPr>
                <w:rFonts w:ascii="仿宋_GB2312" w:hAnsi="仿宋_GB2312" w:cs="仿宋_GB2312" w:eastAsia="仿宋_GB2312"/>
                <w:sz w:val="20"/>
              </w:rPr>
              <w:t>摄像头在线率≥98%，关键区域（校门、食堂、实验室）录像保存≥90天，</w:t>
            </w:r>
            <w:r>
              <w:rPr>
                <w:rFonts w:ascii="仿宋_GB2312" w:hAnsi="仿宋_GB2312" w:cs="仿宋_GB2312" w:eastAsia="仿宋_GB2312"/>
                <w:sz w:val="20"/>
              </w:rPr>
              <w:t>平台实时监测+月度人工抽检</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0"/>
              </w:rPr>
              <w:t>一键报警响应：</w:t>
            </w:r>
            <w:r>
              <w:rPr>
                <w:rFonts w:ascii="仿宋_GB2312" w:hAnsi="仿宋_GB2312" w:cs="仿宋_GB2312" w:eastAsia="仿宋_GB2312"/>
                <w:sz w:val="20"/>
              </w:rPr>
              <w:t>报警触发后安保人员3分钟内抵达现场，</w:t>
            </w:r>
            <w:r>
              <w:rPr>
                <w:rFonts w:ascii="仿宋_GB2312" w:hAnsi="仿宋_GB2312" w:cs="仿宋_GB2312" w:eastAsia="仿宋_GB2312"/>
                <w:sz w:val="20"/>
              </w:rPr>
              <w:t>模拟演练（每学期≥2次）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0"/>
              </w:rPr>
              <w:t>教学区清洁频次：</w:t>
            </w:r>
            <w:r>
              <w:rPr>
                <w:rFonts w:ascii="仿宋_GB2312" w:hAnsi="仿宋_GB2312" w:cs="仿宋_GB2312" w:eastAsia="仿宋_GB2312"/>
                <w:sz w:val="20"/>
              </w:rPr>
              <w:t>教室每日2次（课间），走廊/楼梯每日3次，垃圾桶清运每日≥4次  ，</w:t>
            </w:r>
            <w:r>
              <w:rPr>
                <w:rFonts w:ascii="仿宋_GB2312" w:hAnsi="仿宋_GB2312" w:cs="仿宋_GB2312" w:eastAsia="仿宋_GB2312"/>
                <w:sz w:val="20"/>
              </w:rPr>
              <w:t>保洁打卡记录+电子巡查</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0"/>
              </w:rPr>
              <w:t>卫生间洁净度：</w:t>
            </w:r>
            <w:r>
              <w:rPr>
                <w:rFonts w:ascii="仿宋_GB2312" w:hAnsi="仿宋_GB2312" w:cs="仿宋_GB2312" w:eastAsia="仿宋_GB2312"/>
                <w:sz w:val="20"/>
              </w:rPr>
              <w:t>无异味、无积水、皂液补充间隔≤4小时，</w:t>
            </w:r>
            <w:r>
              <w:rPr>
                <w:rFonts w:ascii="仿宋_GB2312" w:hAnsi="仿宋_GB2312" w:cs="仿宋_GB2312" w:eastAsia="仿宋_GB2312"/>
                <w:sz w:val="20"/>
              </w:rPr>
              <w:t>每周抽检</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0"/>
              </w:rPr>
              <w:t>垃圾分类准确率：</w:t>
            </w:r>
            <w:r>
              <w:rPr>
                <w:rFonts w:ascii="仿宋_GB2312" w:hAnsi="仿宋_GB2312" w:cs="仿宋_GB2312" w:eastAsia="仿宋_GB2312"/>
                <w:sz w:val="20"/>
              </w:rPr>
              <w:t>误投率≤5%（可回收/有害/厨余分类），</w:t>
            </w:r>
            <w:r>
              <w:rPr>
                <w:rFonts w:ascii="仿宋_GB2312" w:hAnsi="仿宋_GB2312" w:cs="仿宋_GB2312" w:eastAsia="仿宋_GB2312"/>
                <w:sz w:val="20"/>
              </w:rPr>
              <w:t>月度考评</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0"/>
              </w:rPr>
              <w:t>报修响应时效：</w:t>
            </w:r>
            <w:r>
              <w:rPr>
                <w:rFonts w:ascii="仿宋_GB2312" w:hAnsi="仿宋_GB2312" w:cs="仿宋_GB2312" w:eastAsia="仿宋_GB2312"/>
                <w:sz w:val="20"/>
              </w:rPr>
              <w:t>紧急报修（停电/漏水）≤15分钟到场，一般报修≤2小时到场，</w:t>
            </w:r>
            <w:r>
              <w:rPr>
                <w:rFonts w:ascii="仿宋_GB2312" w:hAnsi="仿宋_GB2312" w:cs="仿宋_GB2312" w:eastAsia="仿宋_GB2312"/>
                <w:sz w:val="20"/>
              </w:rPr>
              <w:t>报修系统时间戳记录</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0"/>
              </w:rPr>
              <w:t>设施完好率：</w:t>
            </w:r>
            <w:r>
              <w:rPr>
                <w:rFonts w:ascii="仿宋_GB2312" w:hAnsi="仿宋_GB2312" w:cs="仿宋_GB2312" w:eastAsia="仿宋_GB2312"/>
                <w:sz w:val="20"/>
              </w:rPr>
              <w:t>照明/门窗/桌椅故障修复率≥98%（24小时内），</w:t>
            </w:r>
            <w:r>
              <w:rPr>
                <w:rFonts w:ascii="仿宋_GB2312" w:hAnsi="仿宋_GB2312" w:cs="仿宋_GB2312" w:eastAsia="仿宋_GB2312"/>
                <w:sz w:val="20"/>
              </w:rPr>
              <w:t>日常巡检台账</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0"/>
              </w:rPr>
              <w:t>物业人员配置：</w:t>
            </w:r>
            <w:r>
              <w:rPr>
                <w:rFonts w:ascii="仿宋_GB2312" w:hAnsi="仿宋_GB2312" w:cs="仿宋_GB2312" w:eastAsia="仿宋_GB2312"/>
                <w:sz w:val="20"/>
              </w:rPr>
              <w:t>楼内保洁员</w:t>
            </w:r>
            <w:r>
              <w:rPr>
                <w:rFonts w:ascii="仿宋_GB2312" w:hAnsi="仿宋_GB2312" w:cs="仿宋_GB2312" w:eastAsia="仿宋_GB2312"/>
                <w:sz w:val="20"/>
              </w:rPr>
              <w:t>10</w:t>
            </w:r>
            <w:r>
              <w:rPr>
                <w:rFonts w:ascii="仿宋_GB2312" w:hAnsi="仿宋_GB2312" w:cs="仿宋_GB2312" w:eastAsia="仿宋_GB2312"/>
                <w:sz w:val="20"/>
              </w:rPr>
              <w:t>名负责楼内保洁；绿化工1名负责日常绿化养护及修剪；水电/勤杂工</w:t>
            </w:r>
            <w:r>
              <w:rPr>
                <w:rFonts w:ascii="仿宋_GB2312" w:hAnsi="仿宋_GB2312" w:cs="仿宋_GB2312" w:eastAsia="仿宋_GB2312"/>
                <w:sz w:val="20"/>
              </w:rPr>
              <w:t>4</w:t>
            </w:r>
            <w:r>
              <w:rPr>
                <w:rFonts w:ascii="仿宋_GB2312" w:hAnsi="仿宋_GB2312" w:cs="仿宋_GB2312" w:eastAsia="仿宋_GB2312"/>
                <w:sz w:val="20"/>
              </w:rPr>
              <w:t>名</w:t>
            </w:r>
            <w:r>
              <w:rPr>
                <w:rFonts w:ascii="仿宋_GB2312" w:hAnsi="仿宋_GB2312" w:cs="仿宋_GB2312" w:eastAsia="仿宋_GB2312"/>
                <w:sz w:val="20"/>
              </w:rPr>
              <w:t>持电工证上岗，</w:t>
            </w:r>
            <w:r>
              <w:rPr>
                <w:rFonts w:ascii="仿宋_GB2312" w:hAnsi="仿宋_GB2312" w:cs="仿宋_GB2312" w:eastAsia="仿宋_GB2312"/>
                <w:sz w:val="20"/>
              </w:rPr>
              <w:t>负责协助后勤</w:t>
            </w:r>
            <w:r>
              <w:rPr>
                <w:rFonts w:ascii="仿宋_GB2312" w:hAnsi="仿宋_GB2312" w:cs="仿宋_GB2312" w:eastAsia="仿宋_GB2312"/>
                <w:sz w:val="20"/>
              </w:rPr>
              <w:t>水电</w:t>
            </w:r>
            <w:r>
              <w:rPr>
                <w:rFonts w:ascii="仿宋_GB2312" w:hAnsi="仿宋_GB2312" w:cs="仿宋_GB2312" w:eastAsia="仿宋_GB2312"/>
                <w:sz w:val="20"/>
              </w:rPr>
              <w:t>勤杂类事务；</w:t>
            </w:r>
            <w:r>
              <w:rPr>
                <w:rFonts w:ascii="仿宋_GB2312" w:hAnsi="仿宋_GB2312" w:cs="仿宋_GB2312" w:eastAsia="仿宋_GB2312"/>
                <w:sz w:val="20"/>
              </w:rPr>
              <w:t>工程维修1名负责后勤其他勤杂维修事务；</w:t>
            </w:r>
            <w:r>
              <w:rPr>
                <w:rFonts w:ascii="仿宋_GB2312" w:hAnsi="仿宋_GB2312" w:cs="仿宋_GB2312" w:eastAsia="仿宋_GB2312"/>
                <w:sz w:val="20"/>
              </w:rPr>
              <w:t>内勤1名负责协助后勤勤杂类事务；食品安全员3名</w:t>
            </w:r>
            <w:r>
              <w:rPr>
                <w:rFonts w:ascii="仿宋_GB2312" w:hAnsi="仿宋_GB2312" w:cs="仿宋_GB2312" w:eastAsia="仿宋_GB2312"/>
                <w:sz w:val="20"/>
              </w:rPr>
              <w:t>持健康证上岗，</w:t>
            </w:r>
            <w:r>
              <w:rPr>
                <w:rFonts w:ascii="仿宋_GB2312" w:hAnsi="仿宋_GB2312" w:cs="仿宋_GB2312" w:eastAsia="仿宋_GB2312"/>
                <w:sz w:val="20"/>
              </w:rPr>
              <w:t>负责协助</w:t>
            </w:r>
            <w:r>
              <w:rPr>
                <w:rFonts w:ascii="仿宋_GB2312" w:hAnsi="仿宋_GB2312" w:cs="仿宋_GB2312" w:eastAsia="仿宋_GB2312"/>
                <w:sz w:val="20"/>
              </w:rPr>
              <w:t>食堂食品安全管理</w:t>
            </w:r>
            <w:r>
              <w:rPr>
                <w:rFonts w:ascii="仿宋_GB2312" w:hAnsi="仿宋_GB2312" w:cs="仿宋_GB2312" w:eastAsia="仿宋_GB2312"/>
                <w:sz w:val="20"/>
              </w:rPr>
              <w:t>工作；秩序维护员</w:t>
            </w:r>
            <w:r>
              <w:rPr>
                <w:rFonts w:ascii="仿宋_GB2312" w:hAnsi="仿宋_GB2312" w:cs="仿宋_GB2312" w:eastAsia="仿宋_GB2312"/>
                <w:sz w:val="20"/>
              </w:rPr>
              <w:t>7</w:t>
            </w:r>
            <w:r>
              <w:rPr>
                <w:rFonts w:ascii="仿宋_GB2312" w:hAnsi="仿宋_GB2312" w:cs="仿宋_GB2312" w:eastAsia="仿宋_GB2312"/>
                <w:sz w:val="20"/>
              </w:rPr>
              <w:t>名持保安证上岗。所有配备人员年龄不得超过55岁。</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0"/>
              </w:rPr>
              <w:t>宿管人员配置：宿管</w:t>
            </w:r>
            <w:r>
              <w:rPr>
                <w:rFonts w:ascii="仿宋_GB2312" w:hAnsi="仿宋_GB2312" w:cs="仿宋_GB2312" w:eastAsia="仿宋_GB2312"/>
                <w:sz w:val="20"/>
              </w:rPr>
              <w:t>10</w:t>
            </w:r>
            <w:r>
              <w:rPr>
                <w:rFonts w:ascii="仿宋_GB2312" w:hAnsi="仿宋_GB2312" w:cs="仿宋_GB2312" w:eastAsia="仿宋_GB2312"/>
                <w:sz w:val="20"/>
              </w:rPr>
              <w:t>名负责宿舍管理；宿管班长2名负责宿舍管理；工程维修员</w:t>
            </w:r>
            <w:r>
              <w:rPr>
                <w:rFonts w:ascii="仿宋_GB2312" w:hAnsi="仿宋_GB2312" w:cs="仿宋_GB2312" w:eastAsia="仿宋_GB2312"/>
                <w:sz w:val="20"/>
              </w:rPr>
              <w:t>1</w:t>
            </w:r>
            <w:r>
              <w:rPr>
                <w:rFonts w:ascii="仿宋_GB2312" w:hAnsi="仿宋_GB2312" w:cs="仿宋_GB2312" w:eastAsia="仿宋_GB2312"/>
                <w:sz w:val="20"/>
              </w:rPr>
              <w:t>名配合后勤修缮类工作</w:t>
            </w:r>
            <w:r>
              <w:rPr>
                <w:rFonts w:ascii="仿宋_GB2312" w:hAnsi="仿宋_GB2312" w:cs="仿宋_GB2312" w:eastAsia="仿宋_GB2312"/>
                <w:sz w:val="20"/>
              </w:rPr>
              <w:t>，需要持电工证上岗。所有配备人员年龄不得超过55岁。</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物业人员配置：楼内保洁员10名负责楼内保洁；绿化工1名负责日常绿化养护及修剪；水电/勤杂工4名持电工证上岗，负责协助后勤水电勤杂类事务；工程维修1名负责后勤其他勤杂维修事务；内勤1名负责协助后勤勤杂类事务；食品安全员3名持健康证上岗，负责协助食堂食品安全管理工作；秩序维护员7名持保安证上岗。所有配备人员年龄不得超过55岁。 宿管人员配置：宿管10名负责宿舍管理；宿管班长2名负责宿舍管理；工程维修员1名配合后勤修缮类工作，需要持电工证上岗。所有配备人员年龄不得超过55岁。</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2026年1月31日—2027年1月30日。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铜川市耀州区大唐五路与旺旺路交叉口东200米</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现场查验时，设施设备功能正常率达到约定标准，关键设备（电梯、消防、配电）必选确保基本安全运行，所有问题点需清晰记录在案，交付的资料档案需清晰完整。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乙方在月末开具物业服务费国家正式税务发票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乙方在月末开具物业服务费国家正式税务发票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乙方在月末开具物业服务费国家正式税务发票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乙方在月末开具物业服务费国家正式税务发票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乙方在月末开具物业服务费国家正式税务发票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乙方在月末开具物业服务费国家正式税务发票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乙方在月末开具物业服务费国家正式税务发票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乙方在月末开具物业服务费国家正式税务发票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乙方在月末开具物业服务费国家正式税务发票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乙方在月末开具物业服务费国家正式税务发票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双方在履行合同过程中，如发生争议，应首先通过友好协商解决；若协商不成，可将争议提交至合同签订地的人民法院诉讼解决。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合同签订之日起生效 ,计1年。服务期限到期，后两年物业服务，在采购单位对上年度服务验收合格后，按照政府采购相关要求。通过续签合同方式进行。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社保缴纳证明：近期已缴存的社会保障资金缴存单据或社保机构开具的社会保险参保缴费情况证明。依法不需要缴纳社会保障资金的供应商应提供相关文件证明；税收缴纳证明：近期已缴纳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善的财务制度。财务状况报告（二选一）：①提供近期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标的清单 投标文件封面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1、根据采购文件制定详细可行的物业管理实施方案0-7分；2、建立和执行岗位职责、服务流程与标准、员工守则等管理制度，有配套考核办法0-7分。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根据学校实际及服务要求和可能发生的紧急事件制定相应应急处理预案措施，预案详尽、全面、有效、合理，可实施性得0-9分。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根据供应商的服务承诺的合理性、可行性进行评价，由评标委员会综合评审，计0-5分。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管理目标</w:t>
            </w:r>
          </w:p>
        </w:tc>
        <w:tc>
          <w:tcPr>
            <w:tcW w:type="dxa" w:w="2492"/>
          </w:tcPr>
          <w:p>
            <w:pPr>
              <w:pStyle w:val="null3"/>
            </w:pPr>
            <w:r>
              <w:rPr>
                <w:rFonts w:ascii="仿宋_GB2312" w:hAnsi="仿宋_GB2312" w:cs="仿宋_GB2312" w:eastAsia="仿宋_GB2312"/>
              </w:rPr>
              <w:t>1、制定和执行设施设备安全运行操作规程和管理方案，实施岗位责任制，建立设备运行和维修档案得0-5分。2、对临时突发的报修事项或大型维修改造，有相应管理制度得0-3分。3、制定各类事故应急处理预案、临时停送水电工作方案得0-3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人员培训计划</w:t>
            </w:r>
          </w:p>
        </w:tc>
        <w:tc>
          <w:tcPr>
            <w:tcW w:type="dxa" w:w="2492"/>
          </w:tcPr>
          <w:p>
            <w:pPr>
              <w:pStyle w:val="null3"/>
            </w:pPr>
            <w:r>
              <w:rPr>
                <w:rFonts w:ascii="仿宋_GB2312" w:hAnsi="仿宋_GB2312" w:cs="仿宋_GB2312" w:eastAsia="仿宋_GB2312"/>
              </w:rPr>
              <w:t>项目服务人员分工明确，经过严格岗前培训，配备完整的培训计划。针对服务要求中1-9项有合理的安排及方案得0-9分。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结合项目实际情况，对供应商的自身服务优势、服务特点等内容由评标委员会综合评审。计0-6分。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人员的配备完善，满足使用方要求。提供相应岗位所要求的真实有效的技术岗位操作证书、健康证明或证件证明，每提供一份符合要求的材料得0.2分，满分8分。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垃圾分类</w:t>
            </w:r>
          </w:p>
        </w:tc>
        <w:tc>
          <w:tcPr>
            <w:tcW w:type="dxa" w:w="2492"/>
          </w:tcPr>
          <w:p>
            <w:pPr>
              <w:pStyle w:val="null3"/>
            </w:pPr>
            <w:r>
              <w:rPr>
                <w:rFonts w:ascii="仿宋_GB2312" w:hAnsi="仿宋_GB2312" w:cs="仿宋_GB2312" w:eastAsia="仿宋_GB2312"/>
              </w:rPr>
              <w:t>围绕生活垃圾分类要求，针对本项目实际制定切实可行性学校生活垃圾分类措施，根据其计措施详尽程度0-4分。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能够提供自2022年12月至今公共物业服务的业绩，每项计2分，本项最高得4分（加盖鲜章的合同复印件或加盖鲜章中标通知书,否则不得分）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1.经初审合格的响应文件，其报价为有效投标报价。 2.满足采购文件要求且最低的投标报价为评审基准价，其价格分为满分30分。 3.其他各投标人的报价得分按下列公式计算： 投标报价得分=（基准价/投标总报价）×30 4.投标报价不完整的，不进入基准价的计算，本项计 0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