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版本号：SXGLZFCG2025-044号.1B120251229001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社会购买医保经办服务项目(二次)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SXGLZFCG2025-044号.1B1</w:t>
      </w:r>
      <w:r>
        <w:br/>
      </w:r>
      <w:r>
        <w:br/>
      </w:r>
      <w:r>
        <w:br/>
      </w:r>
    </w:p>
    <w:p>
      <w:pPr>
        <w:pStyle w:val="null3"/>
        <w:jc w:val="center"/>
        <w:outlineLvl w:val="2"/>
      </w:pPr>
      <w:r>
        <w:rPr>
          <w:rFonts w:ascii="仿宋_GB2312" w:hAnsi="仿宋_GB2312" w:cs="仿宋_GB2312" w:eastAsia="仿宋_GB2312"/>
          <w:sz w:val="28"/>
          <w:b/>
        </w:rPr>
        <w:t>铜川市医疗保障局</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铜川市医疗保障局</w:t>
      </w:r>
      <w:r>
        <w:rPr>
          <w:rFonts w:ascii="仿宋_GB2312" w:hAnsi="仿宋_GB2312" w:cs="仿宋_GB2312" w:eastAsia="仿宋_GB2312"/>
        </w:rPr>
        <w:t>委托，拟对</w:t>
      </w:r>
      <w:r>
        <w:rPr>
          <w:rFonts w:ascii="仿宋_GB2312" w:hAnsi="仿宋_GB2312" w:cs="仿宋_GB2312" w:eastAsia="仿宋_GB2312"/>
        </w:rPr>
        <w:t>社会购买医保经办服务项目(二次)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SXGLZFCG2025-044号.1B1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社会购买医保经办服务项目(二次)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根据铜川市医疗保障局管理需要，现通过政府购买服务方式，为矿务局4万余名职工（其中在职1.3万余名，退休3.4万余名）提供医保经办服务。本项目服务于2026年1月至2026年12月。</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2、财务状况报告：提供（1）或提供（2）：（1）提供2024年度财务报告复印件，应满足以下要求 ：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 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 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 不因“复印无效”字样而认定资信证明复印件无效）。 ③ 银行出具的存款证明不能替代银行资信证明。</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铜川市新区金谟东路一号财税大厦11楼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18992933996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陕西省铜川市王益区七一路25号工行3楼室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价为基础，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铜川市医疗保障局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铜川市医疗保障局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地址：陕西省铜川市王益区七一路25号工行3楼室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铜川市医疗保障局管理需要，现通过政府购买服务方式，为矿务局4万余名职工（其中在职1.3万余名，退休3.4万余名）提供医保经办服务。本项目服务于2026年1月至2026年12月，采取1次招标三年沿用的方式，后续两年实行1年1考核续签合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1.1 项目背景</w:t>
            </w:r>
          </w:p>
          <w:p>
            <w:pPr>
              <w:pStyle w:val="null3"/>
              <w:ind w:firstLine="480"/>
              <w:jc w:val="both"/>
            </w:pPr>
            <w:r>
              <w:rPr>
                <w:rFonts w:ascii="仿宋_GB2312" w:hAnsi="仿宋_GB2312" w:cs="仿宋_GB2312" w:eastAsia="仿宋_GB2312"/>
                <w:sz w:val="24"/>
              </w:rPr>
              <w:t>根据铜川市医疗保障局管理需要，现通过政府购买服务方式，为矿务局</w:t>
            </w:r>
            <w:r>
              <w:rPr>
                <w:rFonts w:ascii="仿宋_GB2312" w:hAnsi="仿宋_GB2312" w:cs="仿宋_GB2312" w:eastAsia="仿宋_GB2312"/>
                <w:sz w:val="24"/>
              </w:rPr>
              <w:t>4万余名职工（其中在职1.3万余名，退休3.4万余名）提供医保经办服务。本项目服务于2026年1月至2026年12月，采取1次招标三年沿用的方式，后续两年实行1年1考核续签合同。</w:t>
            </w:r>
          </w:p>
          <w:p>
            <w:pPr>
              <w:pStyle w:val="null3"/>
              <w:ind w:firstLine="480"/>
              <w:jc w:val="both"/>
            </w:pPr>
            <w:r>
              <w:rPr>
                <w:rFonts w:ascii="仿宋_GB2312" w:hAnsi="仿宋_GB2312" w:cs="仿宋_GB2312" w:eastAsia="仿宋_GB2312"/>
                <w:sz w:val="24"/>
              </w:rPr>
              <w:t>1.2 采购内容</w:t>
            </w:r>
          </w:p>
          <w:p>
            <w:pPr>
              <w:pStyle w:val="null3"/>
              <w:ind w:firstLine="480"/>
              <w:jc w:val="both"/>
            </w:pPr>
            <w:r>
              <w:rPr>
                <w:rFonts w:ascii="仿宋_GB2312" w:hAnsi="仿宋_GB2312" w:cs="仿宋_GB2312" w:eastAsia="仿宋_GB2312"/>
                <w:sz w:val="24"/>
              </w:rPr>
              <w:t>通过购买服务方式，为矿务局职工提供全面的医保经办服务，包括参保管理、待遇审核、政策宣传、咨询指导等全方位医保业务经办。</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采购需求</w:t>
            </w:r>
          </w:p>
          <w:p>
            <w:pPr>
              <w:pStyle w:val="null3"/>
              <w:ind w:firstLine="480"/>
              <w:jc w:val="both"/>
            </w:pPr>
            <w:r>
              <w:rPr>
                <w:rFonts w:ascii="仿宋_GB2312" w:hAnsi="仿宋_GB2312" w:cs="仿宋_GB2312" w:eastAsia="仿宋_GB2312"/>
                <w:sz w:val="24"/>
              </w:rPr>
              <w:t>2.1 服务期限</w:t>
            </w:r>
          </w:p>
          <w:p>
            <w:pPr>
              <w:pStyle w:val="null3"/>
              <w:ind w:firstLine="480"/>
              <w:jc w:val="both"/>
            </w:pPr>
            <w:r>
              <w:rPr>
                <w:rFonts w:ascii="仿宋_GB2312" w:hAnsi="仿宋_GB2312" w:cs="仿宋_GB2312" w:eastAsia="仿宋_GB2312"/>
                <w:sz w:val="24"/>
              </w:rPr>
              <w:t>基础服务期：</w:t>
            </w:r>
            <w:r>
              <w:rPr>
                <w:rFonts w:ascii="仿宋_GB2312" w:hAnsi="仿宋_GB2312" w:cs="仿宋_GB2312" w:eastAsia="仿宋_GB2312"/>
                <w:sz w:val="24"/>
              </w:rPr>
              <w:t>2026年1月1日-2026年12月31日</w:t>
            </w:r>
          </w:p>
          <w:p>
            <w:pPr>
              <w:pStyle w:val="null3"/>
              <w:ind w:firstLine="480"/>
              <w:jc w:val="both"/>
            </w:pPr>
            <w:r>
              <w:rPr>
                <w:rFonts w:ascii="仿宋_GB2312" w:hAnsi="仿宋_GB2312" w:cs="仿宋_GB2312" w:eastAsia="仿宋_GB2312"/>
                <w:sz w:val="24"/>
              </w:rPr>
              <w:t>延续服务期：后续两年经考核合格后逐年续签</w:t>
            </w:r>
          </w:p>
          <w:p>
            <w:pPr>
              <w:pStyle w:val="null3"/>
              <w:ind w:firstLine="480"/>
              <w:jc w:val="both"/>
            </w:pPr>
            <w:r>
              <w:rPr>
                <w:rFonts w:ascii="仿宋_GB2312" w:hAnsi="仿宋_GB2312" w:cs="仿宋_GB2312" w:eastAsia="仿宋_GB2312"/>
                <w:sz w:val="24"/>
              </w:rPr>
              <w:t>2.2 服务对象规模</w:t>
            </w:r>
          </w:p>
          <w:p>
            <w:pPr>
              <w:pStyle w:val="null3"/>
              <w:ind w:firstLine="480"/>
              <w:jc w:val="both"/>
            </w:pPr>
            <w:r>
              <w:rPr>
                <w:rFonts w:ascii="仿宋_GB2312" w:hAnsi="仿宋_GB2312" w:cs="仿宋_GB2312" w:eastAsia="仿宋_GB2312"/>
                <w:sz w:val="24"/>
              </w:rPr>
              <w:t>总服务人数：</w:t>
            </w:r>
            <w:r>
              <w:rPr>
                <w:rFonts w:ascii="仿宋_GB2312" w:hAnsi="仿宋_GB2312" w:cs="仿宋_GB2312" w:eastAsia="仿宋_GB2312"/>
                <w:sz w:val="24"/>
              </w:rPr>
              <w:t>40,000+人</w:t>
            </w:r>
          </w:p>
          <w:p>
            <w:pPr>
              <w:pStyle w:val="null3"/>
              <w:ind w:firstLine="480"/>
              <w:jc w:val="both"/>
            </w:pPr>
            <w:r>
              <w:rPr>
                <w:rFonts w:ascii="仿宋_GB2312" w:hAnsi="仿宋_GB2312" w:cs="仿宋_GB2312" w:eastAsia="仿宋_GB2312"/>
                <w:sz w:val="24"/>
              </w:rPr>
              <w:t>在职职工：</w:t>
            </w:r>
            <w:r>
              <w:rPr>
                <w:rFonts w:ascii="仿宋_GB2312" w:hAnsi="仿宋_GB2312" w:cs="仿宋_GB2312" w:eastAsia="仿宋_GB2312"/>
                <w:sz w:val="24"/>
              </w:rPr>
              <w:t>13,000+人</w:t>
            </w:r>
          </w:p>
          <w:p>
            <w:pPr>
              <w:pStyle w:val="null3"/>
              <w:ind w:firstLine="480"/>
              <w:jc w:val="both"/>
            </w:pPr>
            <w:r>
              <w:rPr>
                <w:rFonts w:ascii="仿宋_GB2312" w:hAnsi="仿宋_GB2312" w:cs="仿宋_GB2312" w:eastAsia="仿宋_GB2312"/>
                <w:sz w:val="24"/>
              </w:rPr>
              <w:t>退休职工：</w:t>
            </w:r>
            <w:r>
              <w:rPr>
                <w:rFonts w:ascii="仿宋_GB2312" w:hAnsi="仿宋_GB2312" w:cs="仿宋_GB2312" w:eastAsia="仿宋_GB2312"/>
                <w:sz w:val="24"/>
              </w:rPr>
              <w:t>34,000+人</w:t>
            </w:r>
          </w:p>
          <w:p>
            <w:pPr>
              <w:pStyle w:val="null3"/>
              <w:ind w:firstLine="480"/>
              <w:jc w:val="both"/>
            </w:pPr>
            <w:r>
              <w:rPr>
                <w:rFonts w:ascii="仿宋_GB2312" w:hAnsi="仿宋_GB2312" w:cs="仿宋_GB2312" w:eastAsia="仿宋_GB2312"/>
                <w:sz w:val="24"/>
              </w:rPr>
              <w:t>2.3 项目人员要求</w:t>
            </w:r>
          </w:p>
          <w:p>
            <w:pPr>
              <w:pStyle w:val="null3"/>
              <w:ind w:firstLine="480"/>
              <w:jc w:val="both"/>
            </w:pPr>
            <w:r>
              <w:rPr>
                <w:rFonts w:ascii="仿宋_GB2312" w:hAnsi="仿宋_GB2312" w:cs="仿宋_GB2312" w:eastAsia="仿宋_GB2312"/>
                <w:sz w:val="24"/>
              </w:rPr>
              <w:t>人员数量：全年提供不少于</w:t>
            </w:r>
            <w:r>
              <w:rPr>
                <w:rFonts w:ascii="仿宋_GB2312" w:hAnsi="仿宋_GB2312" w:cs="仿宋_GB2312" w:eastAsia="仿宋_GB2312"/>
                <w:sz w:val="24"/>
              </w:rPr>
              <w:t>12名专职工作人员</w:t>
            </w:r>
            <w:r>
              <w:rPr>
                <w:rFonts w:ascii="仿宋_GB2312" w:hAnsi="仿宋_GB2312" w:cs="仿宋_GB2312" w:eastAsia="仿宋_GB2312"/>
                <w:sz w:val="24"/>
              </w:rPr>
              <w:t>，</w:t>
            </w:r>
            <w:r>
              <w:rPr>
                <w:rFonts w:ascii="仿宋_GB2312" w:hAnsi="仿宋_GB2312" w:cs="仿宋_GB2312" w:eastAsia="仿宋_GB2312"/>
                <w:sz w:val="24"/>
              </w:rPr>
              <w:t>业务人员需熟练掌握医保政策及经办流程定期参加业务培训，保持专业能力更新</w:t>
            </w:r>
          </w:p>
          <w:p>
            <w:pPr>
              <w:pStyle w:val="null3"/>
              <w:ind w:firstLine="482"/>
              <w:jc w:val="both"/>
            </w:pPr>
            <w:r>
              <w:rPr>
                <w:rFonts w:ascii="仿宋_GB2312" w:hAnsi="仿宋_GB2312" w:cs="仿宋_GB2312" w:eastAsia="仿宋_GB2312"/>
                <w:sz w:val="24"/>
                <w:b/>
              </w:rPr>
              <w:t>注：</w:t>
            </w:r>
            <w:r>
              <w:rPr>
                <w:rFonts w:ascii="仿宋_GB2312" w:hAnsi="仿宋_GB2312" w:cs="仿宋_GB2312" w:eastAsia="仿宋_GB2312"/>
                <w:sz w:val="24"/>
                <w:b/>
              </w:rPr>
              <w:t>人员变动需提前</w:t>
            </w:r>
            <w:r>
              <w:rPr>
                <w:rFonts w:ascii="仿宋_GB2312" w:hAnsi="仿宋_GB2312" w:cs="仿宋_GB2312" w:eastAsia="仿宋_GB2312"/>
                <w:sz w:val="24"/>
                <w:b/>
              </w:rPr>
              <w:t>15个工作日书面通知采购单位</w:t>
            </w:r>
          </w:p>
          <w:p>
            <w:pPr>
              <w:pStyle w:val="null3"/>
              <w:ind w:firstLine="480"/>
              <w:jc w:val="both"/>
            </w:pPr>
            <w:r>
              <w:rPr>
                <w:rFonts w:ascii="仿宋_GB2312" w:hAnsi="仿宋_GB2312" w:cs="仿宋_GB2312" w:eastAsia="仿宋_GB2312"/>
                <w:sz w:val="24"/>
              </w:rPr>
              <w:t>2.4 场地及办公运营要求</w:t>
            </w:r>
          </w:p>
          <w:p>
            <w:pPr>
              <w:pStyle w:val="null3"/>
              <w:ind w:firstLine="480"/>
              <w:jc w:val="both"/>
            </w:pPr>
            <w:r>
              <w:rPr>
                <w:rFonts w:ascii="仿宋_GB2312" w:hAnsi="仿宋_GB2312" w:cs="仿宋_GB2312" w:eastAsia="仿宋_GB2312"/>
                <w:sz w:val="24"/>
              </w:rPr>
              <w:t>场地</w:t>
            </w:r>
            <w:r>
              <w:rPr>
                <w:rFonts w:ascii="仿宋_GB2312" w:hAnsi="仿宋_GB2312" w:cs="仿宋_GB2312" w:eastAsia="仿宋_GB2312"/>
                <w:sz w:val="24"/>
              </w:rPr>
              <w:t>要求</w:t>
            </w:r>
            <w:r>
              <w:rPr>
                <w:rFonts w:ascii="仿宋_GB2312" w:hAnsi="仿宋_GB2312" w:cs="仿宋_GB2312" w:eastAsia="仿宋_GB2312"/>
                <w:sz w:val="24"/>
              </w:rPr>
              <w:t>：应满足经办大厅、办公用房、会议室等功能需求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功能分区：设等候区、受理区、咨询区、档案室</w:t>
            </w:r>
            <w:r>
              <w:rPr>
                <w:rFonts w:ascii="仿宋_GB2312" w:hAnsi="仿宋_GB2312" w:cs="仿宋_GB2312" w:eastAsia="仿宋_GB2312"/>
                <w:sz w:val="24"/>
              </w:rPr>
              <w:t>、</w:t>
            </w:r>
            <w:r>
              <w:rPr>
                <w:rFonts w:ascii="仿宋_GB2312" w:hAnsi="仿宋_GB2312" w:cs="仿宋_GB2312" w:eastAsia="仿宋_GB2312"/>
                <w:sz w:val="24"/>
              </w:rPr>
              <w:t>配备无障碍设施，满足特殊群体需求</w:t>
            </w:r>
          </w:p>
          <w:p>
            <w:pPr>
              <w:pStyle w:val="null3"/>
              <w:ind w:firstLine="480"/>
              <w:jc w:val="both"/>
            </w:pPr>
            <w:r>
              <w:rPr>
                <w:rFonts w:ascii="仿宋_GB2312" w:hAnsi="仿宋_GB2312" w:cs="仿宋_GB2312" w:eastAsia="仿宋_GB2312"/>
                <w:sz w:val="24"/>
              </w:rPr>
              <w:t>硬件设施：配备计算机、打印机、复印机、电话、网络设备</w:t>
            </w:r>
            <w:r>
              <w:rPr>
                <w:rFonts w:ascii="仿宋_GB2312" w:hAnsi="仿宋_GB2312" w:cs="仿宋_GB2312" w:eastAsia="仿宋_GB2312"/>
                <w:sz w:val="24"/>
              </w:rPr>
              <w:t>、</w:t>
            </w:r>
            <w:r>
              <w:rPr>
                <w:rFonts w:ascii="仿宋_GB2312" w:hAnsi="仿宋_GB2312" w:cs="仿宋_GB2312" w:eastAsia="仿宋_GB2312"/>
                <w:sz w:val="24"/>
              </w:rPr>
              <w:t>设置自助服务终端，提供便捷服务</w:t>
            </w:r>
            <w:r>
              <w:rPr>
                <w:rFonts w:ascii="仿宋_GB2312" w:hAnsi="仿宋_GB2312" w:cs="仿宋_GB2312" w:eastAsia="仿宋_GB2312"/>
                <w:sz w:val="24"/>
              </w:rPr>
              <w:t>等、</w:t>
            </w:r>
            <w:r>
              <w:rPr>
                <w:rFonts w:ascii="仿宋_GB2312" w:hAnsi="仿宋_GB2312" w:cs="仿宋_GB2312" w:eastAsia="仿宋_GB2312"/>
                <w:sz w:val="24"/>
              </w:rPr>
              <w:t>配备监控设备，保障服务安全</w:t>
            </w:r>
          </w:p>
          <w:p>
            <w:pPr>
              <w:pStyle w:val="null3"/>
              <w:ind w:firstLine="480"/>
              <w:jc w:val="both"/>
            </w:pPr>
            <w:r>
              <w:rPr>
                <w:rFonts w:ascii="仿宋_GB2312" w:hAnsi="仿宋_GB2312" w:cs="仿宋_GB2312" w:eastAsia="仿宋_GB2312"/>
                <w:sz w:val="24"/>
              </w:rPr>
              <w:t>运营保障：负责物业管理、水电暖、网络通讯等日常运营</w:t>
            </w:r>
            <w:r>
              <w:rPr>
                <w:rFonts w:ascii="仿宋_GB2312" w:hAnsi="仿宋_GB2312" w:cs="仿宋_GB2312" w:eastAsia="仿宋_GB2312"/>
                <w:sz w:val="24"/>
              </w:rPr>
              <w:t>、</w:t>
            </w:r>
            <w:r>
              <w:rPr>
                <w:rFonts w:ascii="仿宋_GB2312" w:hAnsi="仿宋_GB2312" w:cs="仿宋_GB2312" w:eastAsia="仿宋_GB2312"/>
                <w:sz w:val="24"/>
              </w:rPr>
              <w:t>提供办公耗材、资料印刷、档案管理等服务</w:t>
            </w:r>
          </w:p>
          <w:p>
            <w:pPr>
              <w:pStyle w:val="null3"/>
              <w:ind w:firstLine="480"/>
              <w:jc w:val="both"/>
            </w:pPr>
            <w:r>
              <w:rPr>
                <w:rFonts w:ascii="仿宋_GB2312" w:hAnsi="仿宋_GB2312" w:cs="仿宋_GB2312" w:eastAsia="仿宋_GB2312"/>
                <w:sz w:val="24"/>
              </w:rPr>
              <w:t>2.5 服务内容及质量标准</w:t>
            </w:r>
          </w:p>
          <w:p>
            <w:pPr>
              <w:pStyle w:val="null3"/>
              <w:ind w:firstLine="480"/>
              <w:jc w:val="both"/>
            </w:pPr>
            <w:r>
              <w:rPr>
                <w:rFonts w:ascii="仿宋_GB2312" w:hAnsi="仿宋_GB2312" w:cs="仿宋_GB2312" w:eastAsia="仿宋_GB2312"/>
                <w:sz w:val="24"/>
              </w:rPr>
              <w:t>参保管理服务：负责参保登记、信息变更、关系转移等业务确保数据准确率不低于</w:t>
            </w:r>
            <w:r>
              <w:rPr>
                <w:rFonts w:ascii="仿宋_GB2312" w:hAnsi="仿宋_GB2312" w:cs="仿宋_GB2312" w:eastAsia="仿宋_GB2312"/>
                <w:sz w:val="24"/>
              </w:rPr>
              <w:t>99.9%</w:t>
            </w:r>
          </w:p>
          <w:p>
            <w:pPr>
              <w:pStyle w:val="null3"/>
              <w:ind w:firstLine="480"/>
              <w:jc w:val="both"/>
            </w:pPr>
            <w:r>
              <w:rPr>
                <w:rFonts w:ascii="仿宋_GB2312" w:hAnsi="仿宋_GB2312" w:cs="仿宋_GB2312" w:eastAsia="仿宋_GB2312"/>
                <w:sz w:val="24"/>
              </w:rPr>
              <w:t>待遇审核服务：办理医疗费用审核、报销支付等业务保证在规定时限内完成审核支付</w:t>
            </w:r>
          </w:p>
          <w:p>
            <w:pPr>
              <w:pStyle w:val="null3"/>
              <w:ind w:firstLine="480"/>
              <w:jc w:val="both"/>
            </w:pPr>
            <w:r>
              <w:rPr>
                <w:rFonts w:ascii="仿宋_GB2312" w:hAnsi="仿宋_GB2312" w:cs="仿宋_GB2312" w:eastAsia="仿宋_GB2312"/>
                <w:sz w:val="24"/>
              </w:rPr>
              <w:t>宣传培训：定期组织人员开展政策宣传、制度解读、及技能培训等相关业务培训，提供服务期内宣传所需的相关资料。</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报价要求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 报价构成</w:t>
            </w:r>
          </w:p>
          <w:p>
            <w:pPr>
              <w:pStyle w:val="null3"/>
              <w:ind w:firstLine="480"/>
              <w:jc w:val="both"/>
            </w:pPr>
            <w:r>
              <w:rPr>
                <w:rFonts w:ascii="仿宋_GB2312" w:hAnsi="仿宋_GB2312" w:cs="仿宋_GB2312" w:eastAsia="仿宋_GB2312"/>
                <w:sz w:val="24"/>
              </w:rPr>
              <w:t>供应商报价应包含以下全部费用：</w:t>
            </w:r>
          </w:p>
          <w:p>
            <w:pPr>
              <w:pStyle w:val="null3"/>
              <w:ind w:firstLine="480"/>
              <w:jc w:val="both"/>
            </w:pPr>
            <w:r>
              <w:rPr>
                <w:rFonts w:ascii="仿宋_GB2312" w:hAnsi="仿宋_GB2312" w:cs="仿宋_GB2312" w:eastAsia="仿宋_GB2312"/>
                <w:sz w:val="24"/>
              </w:rPr>
              <w:t>人员费用：工资、社保、福利、管理等</w:t>
            </w:r>
          </w:p>
          <w:p>
            <w:pPr>
              <w:pStyle w:val="null3"/>
              <w:ind w:firstLine="480"/>
              <w:jc w:val="both"/>
            </w:pPr>
            <w:r>
              <w:rPr>
                <w:rFonts w:ascii="仿宋_GB2312" w:hAnsi="仿宋_GB2312" w:cs="仿宋_GB2312" w:eastAsia="仿宋_GB2312"/>
                <w:sz w:val="24"/>
              </w:rPr>
              <w:t>场地费用：租赁、物业、水电、维护等</w:t>
            </w:r>
          </w:p>
          <w:p>
            <w:pPr>
              <w:pStyle w:val="null3"/>
              <w:ind w:firstLine="480"/>
              <w:jc w:val="both"/>
            </w:pPr>
            <w:r>
              <w:rPr>
                <w:rFonts w:ascii="仿宋_GB2312" w:hAnsi="仿宋_GB2312" w:cs="仿宋_GB2312" w:eastAsia="仿宋_GB2312"/>
                <w:sz w:val="24"/>
              </w:rPr>
              <w:t>运营费用：设备购置维护、办公耗材、通讯等</w:t>
            </w:r>
          </w:p>
          <w:p>
            <w:pPr>
              <w:pStyle w:val="null3"/>
              <w:ind w:firstLine="480"/>
              <w:jc w:val="both"/>
            </w:pPr>
            <w:r>
              <w:rPr>
                <w:rFonts w:ascii="仿宋_GB2312" w:hAnsi="仿宋_GB2312" w:cs="仿宋_GB2312" w:eastAsia="仿宋_GB2312"/>
                <w:sz w:val="24"/>
              </w:rPr>
              <w:t>宣传培训费：资料印制、培训活动等</w:t>
            </w:r>
          </w:p>
          <w:p>
            <w:pPr>
              <w:pStyle w:val="null3"/>
              <w:ind w:firstLine="480"/>
              <w:jc w:val="both"/>
            </w:pPr>
            <w:r>
              <w:rPr>
                <w:rFonts w:ascii="仿宋_GB2312" w:hAnsi="仿宋_GB2312" w:cs="仿宋_GB2312" w:eastAsia="仿宋_GB2312"/>
                <w:sz w:val="24"/>
              </w:rPr>
              <w:t>税金：相关税费</w:t>
            </w:r>
          </w:p>
          <w:p>
            <w:pPr>
              <w:pStyle w:val="null3"/>
              <w:ind w:firstLine="480"/>
              <w:jc w:val="both"/>
            </w:pPr>
            <w:r>
              <w:rPr>
                <w:rFonts w:ascii="仿宋_GB2312" w:hAnsi="仿宋_GB2312" w:cs="仿宋_GB2312" w:eastAsia="仿宋_GB2312"/>
                <w:sz w:val="24"/>
              </w:rPr>
              <w:t>合理利润</w:t>
            </w:r>
          </w:p>
          <w:p>
            <w:pPr>
              <w:pStyle w:val="null3"/>
              <w:ind w:firstLine="480"/>
              <w:jc w:val="both"/>
            </w:pPr>
            <w:r>
              <w:rPr>
                <w:rFonts w:ascii="仿宋_GB2312" w:hAnsi="仿宋_GB2312" w:cs="仿宋_GB2312" w:eastAsia="仿宋_GB2312"/>
                <w:sz w:val="24"/>
              </w:rPr>
              <w:t>不可预见费用</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1"/>
                <w:b/>
              </w:rPr>
              <w:t xml:space="preserve"> </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考核机制</w:t>
            </w:r>
          </w:p>
          <w:p>
            <w:pPr>
              <w:pStyle w:val="null3"/>
              <w:ind w:firstLine="480"/>
              <w:jc w:val="both"/>
            </w:pPr>
            <w:r>
              <w:rPr>
                <w:rFonts w:ascii="仿宋_GB2312" w:hAnsi="仿宋_GB2312" w:cs="仿宋_GB2312" w:eastAsia="仿宋_GB2312"/>
                <w:sz w:val="24"/>
              </w:rPr>
              <w:t>考核周期：每半年进行一次中期考核，年度进行一次综合考核</w:t>
            </w:r>
          </w:p>
          <w:p>
            <w:pPr>
              <w:pStyle w:val="null3"/>
              <w:ind w:firstLine="480"/>
              <w:jc w:val="both"/>
            </w:pPr>
            <w:r>
              <w:rPr>
                <w:rFonts w:ascii="仿宋_GB2312" w:hAnsi="仿宋_GB2312" w:cs="仿宋_GB2312" w:eastAsia="仿宋_GB2312"/>
                <w:sz w:val="24"/>
              </w:rPr>
              <w:t>考核内容：服务质量、时效、满意度等</w:t>
            </w:r>
          </w:p>
          <w:p>
            <w:pPr>
              <w:pStyle w:val="null3"/>
              <w:ind w:firstLine="480"/>
              <w:jc w:val="both"/>
            </w:pPr>
            <w:r>
              <w:rPr>
                <w:rFonts w:ascii="仿宋_GB2312" w:hAnsi="仿宋_GB2312" w:cs="仿宋_GB2312" w:eastAsia="仿宋_GB2312"/>
                <w:sz w:val="24"/>
              </w:rPr>
              <w:t>续签依据：年度考核合格作为续签必要条件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服务质量监督</w:t>
            </w:r>
          </w:p>
          <w:p>
            <w:pPr>
              <w:pStyle w:val="null3"/>
              <w:ind w:firstLine="480"/>
              <w:jc w:val="both"/>
            </w:pPr>
            <w:r>
              <w:rPr>
                <w:rFonts w:ascii="仿宋_GB2312" w:hAnsi="仿宋_GB2312" w:cs="仿宋_GB2312" w:eastAsia="仿宋_GB2312"/>
                <w:sz w:val="24"/>
              </w:rPr>
              <w:t>建立服务质量监督机制</w:t>
            </w:r>
            <w:r>
              <w:rPr>
                <w:rFonts w:ascii="仿宋_GB2312" w:hAnsi="仿宋_GB2312" w:cs="仿宋_GB2312" w:eastAsia="仿宋_GB2312"/>
                <w:sz w:val="24"/>
              </w:rPr>
              <w:t>、</w:t>
            </w:r>
            <w:r>
              <w:rPr>
                <w:rFonts w:ascii="仿宋_GB2312" w:hAnsi="仿宋_GB2312" w:cs="仿宋_GB2312" w:eastAsia="仿宋_GB2312"/>
                <w:sz w:val="24"/>
              </w:rPr>
              <w:t>定期开展服务满意度调查</w:t>
            </w:r>
            <w:r>
              <w:rPr>
                <w:rFonts w:ascii="仿宋_GB2312" w:hAnsi="仿宋_GB2312" w:cs="仿宋_GB2312" w:eastAsia="仿宋_GB2312"/>
                <w:sz w:val="24"/>
              </w:rPr>
              <w:t>、</w:t>
            </w:r>
            <w:r>
              <w:rPr>
                <w:rFonts w:ascii="仿宋_GB2312" w:hAnsi="仿宋_GB2312" w:cs="仿宋_GB2312" w:eastAsia="仿宋_GB2312"/>
                <w:sz w:val="24"/>
              </w:rPr>
              <w:t>设置投诉处理渠道和应急处理机制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信息安全管理</w:t>
            </w:r>
          </w:p>
          <w:p>
            <w:pPr>
              <w:pStyle w:val="null3"/>
              <w:ind w:firstLine="480"/>
              <w:jc w:val="both"/>
            </w:pPr>
            <w:r>
              <w:rPr>
                <w:rFonts w:ascii="仿宋_GB2312" w:hAnsi="仿宋_GB2312" w:cs="仿宋_GB2312" w:eastAsia="仿宋_GB2312"/>
                <w:sz w:val="24"/>
              </w:rPr>
              <w:t>遵守医疗保障信息管理规定</w:t>
            </w:r>
            <w:r>
              <w:rPr>
                <w:rFonts w:ascii="仿宋_GB2312" w:hAnsi="仿宋_GB2312" w:cs="仿宋_GB2312" w:eastAsia="仿宋_GB2312"/>
                <w:sz w:val="24"/>
              </w:rPr>
              <w:t>、</w:t>
            </w:r>
            <w:r>
              <w:rPr>
                <w:rFonts w:ascii="仿宋_GB2312" w:hAnsi="仿宋_GB2312" w:cs="仿宋_GB2312" w:eastAsia="仿宋_GB2312"/>
                <w:sz w:val="24"/>
              </w:rPr>
              <w:t>确保参保人员信息安全</w:t>
            </w:r>
            <w:r>
              <w:rPr>
                <w:rFonts w:ascii="仿宋_GB2312" w:hAnsi="仿宋_GB2312" w:cs="仿宋_GB2312" w:eastAsia="仿宋_GB2312"/>
                <w:sz w:val="24"/>
              </w:rPr>
              <w:t>、</w:t>
            </w:r>
            <w:r>
              <w:rPr>
                <w:rFonts w:ascii="仿宋_GB2312" w:hAnsi="仿宋_GB2312" w:cs="仿宋_GB2312" w:eastAsia="仿宋_GB2312"/>
                <w:sz w:val="24"/>
              </w:rPr>
              <w:t>防止信息泄露，建立数据备份机制</w:t>
            </w:r>
            <w:r>
              <w:rPr>
                <w:rFonts w:ascii="仿宋_GB2312" w:hAnsi="仿宋_GB2312" w:cs="仿宋_GB2312" w:eastAsia="仿宋_GB2312"/>
                <w:sz w:val="24"/>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根据本项目采购要求按需配备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根据本项目采购要求按需配备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本项目属于一签多年制项目，一签多年服务期限为三年，后续两年实行1 年1考核续签合同。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供应商自行提供办公场所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验收标准：参照《财政部关于进一步加强政府采购需求和履约验收管理的指导意见》(财库(2016) 205号)</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经采购人考核合格</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经采购人考核合格</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1、在合同有效期内，只有在甲乙双方协商一致时，本合同方可解除，任何一方不得无故终止合同。如遇特殊情况，任何一方要提前终止合同时，必须提前壹个月通知对方。 2、如因特殊原因需解除本合同，以实际劳务发生天数人数据实结算。 3、乙方有下列情况之一时，甲方可单方面通知乙方解除本合同： 3.1、乙方未按约定履行义务； 3.2、乙方违反国家法律法规，造成操作、食品、卫生等重大事故； 3.3、乙方行为对甲方利益造成 10000 元以上的损失； 3.4、经甲方告知存在的问题，乙方在三次之内未按期整改； 3.5、乙方有违法行为遭受行政处罚的； 3.6 乙方有欺瞒甲方的行为，对甲方造成不利影响的。 4、任何一方因违约给对方造成损失，应承担相应的责任。 5、纠纷处理：由双方协商解决，若协商未果，双方均可向甲方所在地人民法院提起诉讼。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于开标前线下提交投保文件纸质版至铜川市新区朝阳路鸿翔意境北门东侧119号（陕西公立）3楼304室，投标文件正本一份，副本一份，电子U盘一份。投标文件纸质版正本、副本与电子版一同密封，且在封袋正面标明“投标文件纸质版”字样。封袋应加贴封条，并在封线处加盖供应商公章，封袋正面要粘贴投标人全称、项目名称、编号等标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提供（1）或提供（2）：（1）提供2024年度财务报告复印件，应满足以下要求 ：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 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 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 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提供（1）或提供（2）：（1）提供2024年度财务报告复印件，应满足以下要求 ：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 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 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 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投标文件格式、签署盖章</w:t>
            </w:r>
          </w:p>
        </w:tc>
        <w:tc>
          <w:tcPr>
            <w:tcW w:type="dxa" w:w="3322"/>
          </w:tcPr>
          <w:p>
            <w:pPr>
              <w:pStyle w:val="null3"/>
            </w:pPr>
            <w:r>
              <w:rPr>
                <w:rFonts w:ascii="仿宋_GB2312" w:hAnsi="仿宋_GB2312" w:cs="仿宋_GB2312" w:eastAsia="仿宋_GB2312"/>
              </w:rPr>
              <w:t>应满足招标文件格式要求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其他说明.docx 供应商同类项目业绩一览表.docx 法定代表人身份证明书.docx 供应商应提交的相关资格证明材料.docx 投标函 残疾人福利性单位声明函 服务方案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未超过采购预算，无选择性报价</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服务方案与项目理解</w:t>
            </w:r>
          </w:p>
        </w:tc>
        <w:tc>
          <w:tcPr>
            <w:tcW w:type="dxa" w:w="2492"/>
          </w:tcPr>
          <w:p>
            <w:pPr>
              <w:pStyle w:val="null3"/>
            </w:pPr>
            <w:r>
              <w:rPr>
                <w:rFonts w:ascii="仿宋_GB2312" w:hAnsi="仿宋_GB2312" w:cs="仿宋_GB2312" w:eastAsia="仿宋_GB2312"/>
              </w:rPr>
              <w:t>一、服务流程与实施计划 (10分) 针对参保管理、待遇审核、政策宣传等核心业务，提供详细的服务流程说明和实施计划。流程设计清晰，关键节点（如数据录入、审核、支付、归档）有明确时限要求和责任人安排，与采购需求高度契合，得10分；流程设计基本完整，关键节点有界定但不够详细，得7分；流程设计简单，缺乏关键节点控制，得4分；未提供不得分。 二、质量控制措施 (10分) 针对数据准确率不低于99.9%、审核支付时限等质量标准，提出保障措施（例如，每日数据核对、每周差错分析、每月质量报告等），措施有力且可操作性强的，得10分；有基本质量控制措施但不够具体，得7分；措施空泛，得3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人员配置描述与培训方案</w:t>
            </w:r>
          </w:p>
        </w:tc>
        <w:tc>
          <w:tcPr>
            <w:tcW w:type="dxa" w:w="2492"/>
          </w:tcPr>
          <w:p>
            <w:pPr>
              <w:pStyle w:val="null3"/>
            </w:pPr>
            <w:r>
              <w:rPr>
                <w:rFonts w:ascii="仿宋_GB2312" w:hAnsi="仿宋_GB2312" w:cs="仿宋_GB2312" w:eastAsia="仿宋_GB2312"/>
              </w:rPr>
              <w:t>一、人员配置描述 (15分) 拟投入的项目团队人员数量不少于12名（需提供人员名单及岗位职责）。团队人员结构（如咨询、审核、档案管理等岗位）设置合理，岗位职责描述清晰，与项目需求匹配度高的，得15分；结构基本合理，职责描述基本清晰的，得10分；结构不合理或职责不清的，得5分；未提供不得分。 二、培训方案 (5分) 提供详细的年度培训计划，包括培训次数（每年不少于4次）、培训内容（至少涵盖医保新政策、经办实务、信息系统操作、服务规范）、培训考核方式。方案完整、频次与内容满足要求的，得5分；方案基本完整，但频次或内容有一项不足的，得3分；方案简单或仅有框架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场地、设施与运营保障方案</w:t>
            </w:r>
          </w:p>
        </w:tc>
        <w:tc>
          <w:tcPr>
            <w:tcW w:type="dxa" w:w="2492"/>
          </w:tcPr>
          <w:p>
            <w:pPr>
              <w:pStyle w:val="null3"/>
            </w:pPr>
            <w:r>
              <w:rPr>
                <w:rFonts w:ascii="仿宋_GB2312" w:hAnsi="仿宋_GB2312" w:cs="仿宋_GB2312" w:eastAsia="仿宋_GB2312"/>
              </w:rPr>
              <w:t>一、场地与功能分区 (10分) 详细描述场地各功能分区（等候区、受理区、咨询区、档案室、无障碍设施）的面积、布局、设施配置，布局科学合理，能有效保障服务流程顺畅并满足特殊群体需求的，得10分；描述基本完整，布局基本合理的，得7分；描述简单，未能体现功能分区的，得4分；未提供不得分。 二、硬件与运营保障 (5分) 提供详细的硬件设施（计算机、打印机、自助终端、监控设备等）配置清单（含数量）和运维保障措施。清单完整、措施可靠的，得5分；清单基本完整，措施基本可行的，得3分；清单缺失较多或措施不力的，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一、定点医疗机构合作经验（5分）2025年前供应商与基本医保定点医疗机构建立社会保险类业务合作关系，以签署合作协议的为准。每一份医疗机构合作协议得0.5分，最高得5分。二、分支机构（5分）供应商在乡镇级行政区域有具备服务能力分支机构的，得5分，在各县/区有具备服务能力分支机构的得3分，在地市有具备服务能力分支机构的得1分。没有不得分。以提供营业执照和经营许可证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稽核、调查能力</w:t>
            </w:r>
          </w:p>
        </w:tc>
        <w:tc>
          <w:tcPr>
            <w:tcW w:type="dxa" w:w="2492"/>
          </w:tcPr>
          <w:p>
            <w:pPr>
              <w:pStyle w:val="null3"/>
            </w:pPr>
            <w:r>
              <w:rPr>
                <w:rFonts w:ascii="仿宋_GB2312" w:hAnsi="仿宋_GB2312" w:cs="仿宋_GB2312" w:eastAsia="仿宋_GB2312"/>
              </w:rPr>
              <w:t>根据医保政策规定和业务经办实际需求，制定切实可行的稽核、调查方案，方案切合实际且可操作性强的，得10分；有方案但不能完全落实的，得7分；方案空泛且无法落实的，得3分；未提供不得分。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应急预案及处理措施</w:t>
            </w:r>
          </w:p>
        </w:tc>
        <w:tc>
          <w:tcPr>
            <w:tcW w:type="dxa" w:w="2492"/>
          </w:tcPr>
          <w:p>
            <w:pPr>
              <w:pStyle w:val="null3"/>
            </w:pPr>
            <w:r>
              <w:rPr>
                <w:rFonts w:ascii="仿宋_GB2312" w:hAnsi="仿宋_GB2312" w:cs="仿宋_GB2312" w:eastAsia="仿宋_GB2312"/>
              </w:rPr>
              <w:t>根据本项目特点定制切实可行的各类应急预案，预案需结合采购人的实际情况提出，方案科学合理且有针对性、建设性，完全符合项目采购需求得5分；方案粗略基本满足项目需求，得3分;方案描述一般，偏离项目实际情况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近五年（2020年1月至今）的同类业绩，每提供一份得2分，满分10分。业绩证明【以中标通知书或合同的复印件或扫描件加盖公章为准】。未提供不得分。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供应商同类项目业绩一览表.docx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采用最低价评标法计算，即满足招标文件要求且投标价格最低的投标报价为评标基准价，其价格分为满分。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详见附件：其他说明.docx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详见附件：供应商同类项目业绩一览表.docx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