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版本号：HX-2025-4520251204001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市级部门信息系统网络安全等级保护测评统采分用服务项目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HX-2025-45</w:t>
      </w:r>
      <w:r>
        <w:br/>
      </w:r>
      <w:r>
        <w:br/>
      </w:r>
      <w:r>
        <w:br/>
      </w:r>
    </w:p>
    <w:p>
      <w:pPr>
        <w:pStyle w:val="null3"/>
        <w:jc w:val="center"/>
        <w:outlineLvl w:val="2"/>
      </w:pPr>
      <w:r>
        <w:rPr>
          <w:rFonts w:ascii="仿宋_GB2312" w:hAnsi="仿宋_GB2312" w:cs="仿宋_GB2312" w:eastAsia="仿宋_GB2312"/>
          <w:sz w:val="28"/>
          <w:b/>
        </w:rPr>
        <w:t>铜川市数据中心</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铜川市数据中心</w:t>
      </w:r>
      <w:r>
        <w:rPr>
          <w:rFonts w:ascii="仿宋_GB2312" w:hAnsi="仿宋_GB2312" w:cs="仿宋_GB2312" w:eastAsia="仿宋_GB2312"/>
        </w:rPr>
        <w:t>委托，拟对</w:t>
      </w:r>
      <w:r>
        <w:rPr>
          <w:rFonts w:ascii="仿宋_GB2312" w:hAnsi="仿宋_GB2312" w:cs="仿宋_GB2312" w:eastAsia="仿宋_GB2312"/>
        </w:rPr>
        <w:t>市级部门信息系统网络安全等级保护测评统采分用服务项目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HX-2025-45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市级部门信息系统网络安全等级保护测评统采分用服务项目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市级部门信息系统网络安全等级保护测评统采分用服务项目，涵盖19个市级相关单位的36个信息系统(含二级系统3个),服务总预算金额根据各单位系统测评金额合计确定，核心目标是通过专业测评服务，确保各信息系统符合网络安全等级保护相关标准要求，保障系统安全稳定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6、资质要求：投标人具有公安部颁发的有效期内的《网络安全服务认证证书等级保护测评服务认证》证书；供应商需在项目电子化交易系统中按要求上传相应证明文件并进行电子签章。</w:t>
      </w:r>
    </w:p>
    <w:p>
      <w:pPr>
        <w:pStyle w:val="null3"/>
      </w:pPr>
      <w:r>
        <w:rPr>
          <w:rFonts w:ascii="仿宋_GB2312" w:hAnsi="仿宋_GB2312" w:cs="仿宋_GB2312" w:eastAsia="仿宋_GB2312"/>
        </w:rPr>
        <w:t>7、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8、是否接受联合体投标：提供非联合体声明；供应商需在项目电子化交易系统中按要求上传相应证明文件并进行电子签章。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9、保密承诺函：提供相关承诺；供应商需在项目电子化交易系统中按要求上传相应证明文件并进行电子签章。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6、资质要求：投标人具有公安部颁发的有效期内的《网络安全服务认证证书等级保护测评服务认证》证书；供应商需在项目电子化交易系统中按要求上传相应证明文件并进行电子签章。</w:t>
      </w:r>
    </w:p>
    <w:p>
      <w:pPr>
        <w:pStyle w:val="null3"/>
      </w:pPr>
      <w:r>
        <w:rPr>
          <w:rFonts w:ascii="仿宋_GB2312" w:hAnsi="仿宋_GB2312" w:cs="仿宋_GB2312" w:eastAsia="仿宋_GB2312"/>
        </w:rPr>
        <w:t>7、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8、是否接受联合体投标：提供非联合体声明；供应商需在项目电子化交易系统中按要求上传相应证明文件并进行电子签章。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9、保密承诺函：提供相关承诺；供应商需在项目电子化交易系统中按要求上传相应证明文件并进行电子签章。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6、资质要求：投标人具有公安部颁发的有效期内的《网络安全服务认证证书等级保护测评服务认证》证书；供应商需在项目电子化交易系统中按要求上传相应证明文件并进行电子签章。</w:t>
      </w:r>
    </w:p>
    <w:p>
      <w:pPr>
        <w:pStyle w:val="null3"/>
      </w:pPr>
      <w:r>
        <w:rPr>
          <w:rFonts w:ascii="仿宋_GB2312" w:hAnsi="仿宋_GB2312" w:cs="仿宋_GB2312" w:eastAsia="仿宋_GB2312"/>
        </w:rPr>
        <w:t>7、授权代表：提供法定代表人授权书（附法定代表人、被授权人身份证复印件）；法定代表人直接参加投标的，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8、是否接受联合体投标：提供非联合体声明；供应商需在项目电子化交易系统中按要求上传相应证明文件并进行电子签章。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9、保密承诺函：提供相关承诺；供应商需在项目电子化交易系统中按要求上传相应证明文件并进行电子签章。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铜川市数据中心经办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15129577531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18161791282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采购包1：684,000.00元</w:t>
            </w:r>
          </w:p>
          <w:p>
            <w:pPr>
              <w:pStyle w:val="null3"/>
            </w:pPr>
            <w:r>
              <w:rPr>
                <w:rFonts w:ascii="仿宋_GB2312" w:hAnsi="仿宋_GB2312" w:cs="仿宋_GB2312" w:eastAsia="仿宋_GB2312"/>
              </w:rPr>
              <w:t>采购包2：662,000.00元</w:t>
            </w:r>
          </w:p>
          <w:p>
            <w:pPr>
              <w:pStyle w:val="null3"/>
            </w:pPr>
            <w:r>
              <w:rPr>
                <w:rFonts w:ascii="仿宋_GB2312" w:hAnsi="仿宋_GB2312" w:cs="仿宋_GB2312" w:eastAsia="仿宋_GB2312"/>
              </w:rPr>
              <w:t>采购包3：640,000.00元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铜川市数据中心</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铜川市数据中心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联系电话：18161791282</w:t>
      </w:r>
    </w:p>
    <w:p>
      <w:pPr>
        <w:pStyle w:val="null3"/>
      </w:pPr>
      <w:r>
        <w:rPr>
          <w:rFonts w:ascii="仿宋_GB2312" w:hAnsi="仿宋_GB2312" w:cs="仿宋_GB2312" w:eastAsia="仿宋_GB2312"/>
        </w:rPr>
        <w:t>地址：陕西省西安市雁塔区陕西省西安市高新区唐延路11号禾盛京广中心B座14层1403室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市级部门信息系统网络安全等级保护测评统采分用服务项目，涵盖19个市级相关单位的36个信息系统(含二级系统3个),服务总预算金额根据各单位系统测评金额合计确定，核心目标是通过专业测评服务，确保各信息系统符合网络安全等级保护相关标准要求，保障系统安全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684,000.00</w:t>
      </w:r>
    </w:p>
    <w:p>
      <w:pPr>
        <w:pStyle w:val="null3"/>
      </w:pPr>
      <w:r>
        <w:rPr>
          <w:rFonts w:ascii="仿宋_GB2312" w:hAnsi="仿宋_GB2312" w:cs="仿宋_GB2312" w:eastAsia="仿宋_GB2312"/>
        </w:rPr>
        <w:t>采购包最高限价（元）: 684,000.00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网络安全等级保护测评服务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662,000.00</w:t>
      </w:r>
    </w:p>
    <w:p>
      <w:pPr>
        <w:pStyle w:val="null3"/>
      </w:pPr>
      <w:r>
        <w:rPr>
          <w:rFonts w:ascii="仿宋_GB2312" w:hAnsi="仿宋_GB2312" w:cs="仿宋_GB2312" w:eastAsia="仿宋_GB2312"/>
        </w:rPr>
        <w:t>采购包最高限价（元）: 662,000.00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网络安全等级测评服务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网络安全等级测评服务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标的名称：网络安全等级保护测评服务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投标人应依据《信息安全技术-网络安全等级保护基本要求》（GB/T22239-2019）、《信息安全技术-网络安全等级保护测评要求》（GB/T 28448-2019）、《信息安全技术-网络安全等级保护测评过程指南（GB/T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both"/>
              <w:outlineLvl w:val="2"/>
            </w:pPr>
            <w:r>
              <w:rPr>
                <w:rFonts w:ascii="仿宋_GB2312" w:hAnsi="仿宋_GB2312" w:cs="仿宋_GB2312" w:eastAsia="仿宋_GB2312"/>
                <w:sz w:val="21"/>
                <w:b/>
              </w:rPr>
              <w:t>1.定级：</w:t>
            </w:r>
          </w:p>
          <w:p>
            <w:pPr>
              <w:pStyle w:val="null3"/>
              <w:jc w:val="both"/>
              <w:outlineLvl w:val="2"/>
            </w:pPr>
            <w:r>
              <w:rPr>
                <w:rFonts w:ascii="仿宋_GB2312" w:hAnsi="仿宋_GB2312" w:cs="仿宋_GB2312" w:eastAsia="仿宋_GB2312"/>
                <w:sz w:val="21"/>
                <w:b/>
              </w:rPr>
              <w:t>该主要依据是《</w:t>
            </w:r>
            <w:r>
              <w:rPr>
                <w:rFonts w:ascii="仿宋_GB2312" w:hAnsi="仿宋_GB2312" w:cs="仿宋_GB2312" w:eastAsia="仿宋_GB2312"/>
                <w:sz w:val="21"/>
                <w:b/>
              </w:rPr>
              <w:t>信息安全技术-</w:t>
            </w:r>
            <w:r>
              <w:rPr>
                <w:rFonts w:ascii="仿宋_GB2312" w:hAnsi="仿宋_GB2312" w:cs="仿宋_GB2312" w:eastAsia="仿宋_GB2312"/>
                <w:sz w:val="21"/>
                <w:b/>
              </w:rPr>
              <w:t>网络安全等级保护定级指南》（GB/T 22240-2020）确定系统等级。</w:t>
            </w:r>
          </w:p>
          <w:p>
            <w:pPr>
              <w:pStyle w:val="null3"/>
              <w:jc w:val="both"/>
              <w:outlineLvl w:val="2"/>
            </w:pPr>
            <w:r>
              <w:rPr>
                <w:rFonts w:ascii="仿宋_GB2312" w:hAnsi="仿宋_GB2312" w:cs="仿宋_GB2312" w:eastAsia="仿宋_GB2312"/>
                <w:sz w:val="21"/>
                <w:b/>
              </w:rPr>
              <w:t>2.</w:t>
            </w:r>
            <w:r>
              <w:rPr>
                <w:rFonts w:ascii="仿宋_GB2312" w:hAnsi="仿宋_GB2312" w:cs="仿宋_GB2312" w:eastAsia="仿宋_GB2312"/>
                <w:sz w:val="21"/>
                <w:b/>
              </w:rPr>
              <w:t>备案</w:t>
            </w:r>
          </w:p>
          <w:p>
            <w:pPr>
              <w:pStyle w:val="null3"/>
              <w:ind w:firstLine="420"/>
              <w:jc w:val="both"/>
            </w:pPr>
            <w:r>
              <w:rPr>
                <w:rFonts w:ascii="仿宋_GB2312" w:hAnsi="仿宋_GB2312" w:cs="仿宋_GB2312" w:eastAsia="仿宋_GB2312"/>
                <w:sz w:val="21"/>
              </w:rPr>
              <w:t>信息系统的安全保护等级确定后，二级以上（含二级）信息系统的运营使用单位或主管部门应到属地公安机关办理备案手续。完成备案的信息系统，将获得公安机关颁发的《信息系统安全等级保护备案证明》。</w:t>
            </w:r>
          </w:p>
          <w:p>
            <w:pPr>
              <w:pStyle w:val="null3"/>
              <w:jc w:val="both"/>
              <w:outlineLvl w:val="2"/>
            </w:pPr>
            <w:r>
              <w:rPr>
                <w:rFonts w:ascii="仿宋_GB2312" w:hAnsi="仿宋_GB2312" w:cs="仿宋_GB2312" w:eastAsia="仿宋_GB2312"/>
                <w:sz w:val="21"/>
                <w:b/>
              </w:rPr>
              <w:t>3.制定保护工作方案：</w:t>
            </w:r>
          </w:p>
          <w:p>
            <w:pPr>
              <w:pStyle w:val="null3"/>
              <w:jc w:val="both"/>
              <w:outlineLvl w:val="2"/>
            </w:pPr>
            <w:r>
              <w:rPr>
                <w:rFonts w:ascii="仿宋_GB2312" w:hAnsi="仿宋_GB2312" w:cs="仿宋_GB2312" w:eastAsia="仿宋_GB2312"/>
                <w:sz w:val="21"/>
                <w:b/>
              </w:rPr>
              <w:t>如信息系统定级为等保三级系统，需结合实际制定保护工作方案。</w:t>
            </w:r>
          </w:p>
          <w:p>
            <w:pPr>
              <w:pStyle w:val="null3"/>
              <w:jc w:val="both"/>
              <w:outlineLvl w:val="2"/>
            </w:pPr>
            <w:r>
              <w:rPr>
                <w:rFonts w:ascii="仿宋_GB2312" w:hAnsi="仿宋_GB2312" w:cs="仿宋_GB2312" w:eastAsia="仿宋_GB2312"/>
                <w:sz w:val="21"/>
                <w:b/>
              </w:rPr>
              <w:t>4.提出整改建议：</w:t>
            </w:r>
          </w:p>
          <w:p>
            <w:pPr>
              <w:pStyle w:val="null3"/>
              <w:jc w:val="both"/>
              <w:outlineLvl w:val="2"/>
            </w:pPr>
            <w:r>
              <w:rPr>
                <w:rFonts w:ascii="仿宋_GB2312" w:hAnsi="仿宋_GB2312" w:cs="仿宋_GB2312" w:eastAsia="仿宋_GB2312"/>
                <w:sz w:val="21"/>
                <w:b/>
              </w:rPr>
              <w:t>对信息系统安全情况与等级保护基本要求的差距进行风险分析，并出具科学合理的整改建议。</w:t>
            </w:r>
          </w:p>
          <w:p>
            <w:pPr>
              <w:pStyle w:val="null3"/>
              <w:jc w:val="both"/>
              <w:outlineLvl w:val="2"/>
            </w:pPr>
            <w:r>
              <w:rPr>
                <w:rFonts w:ascii="仿宋_GB2312" w:hAnsi="仿宋_GB2312" w:cs="仿宋_GB2312" w:eastAsia="仿宋_GB2312"/>
                <w:sz w:val="21"/>
                <w:b/>
              </w:rPr>
              <w:t>5.等级测评：</w:t>
            </w:r>
          </w:p>
          <w:p>
            <w:pPr>
              <w:pStyle w:val="null3"/>
              <w:jc w:val="both"/>
              <w:outlineLvl w:val="2"/>
            </w:pPr>
            <w:r>
              <w:rPr>
                <w:rFonts w:ascii="仿宋_GB2312" w:hAnsi="仿宋_GB2312" w:cs="仿宋_GB2312" w:eastAsia="仿宋_GB2312"/>
                <w:sz w:val="21"/>
                <w:b/>
              </w:rPr>
              <w:t>通过测评准备、系统调研、测评方案编制、现场测评、分析与报告编制等工作流程给出等级测评结论，最终形成加盖公司公章及测评章的《网络安全等级保护测评报告》文本。</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标的名称：网络安全等级测评服务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投标人应依据《信息安全技术-网络安全等级保护基本要求》（GB/T22239-2019）、《信息安全技术-网络安全等级保护测评要求》（GB/T 28448-2019）、《信息安全技术-网络安全等级保护测评过程指南（GB/T 28449-2018）</w:t>
            </w:r>
            <w:r>
              <w:rPr>
                <w:rFonts w:ascii="仿宋_GB2312" w:hAnsi="仿宋_GB2312" w:cs="仿宋_GB2312" w:eastAsia="仿宋_GB2312"/>
                <w:sz w:val="21"/>
                <w:b/>
              </w:rPr>
              <w:t>等国家关于网络安全等级保护2.0的相关标准和规范要求，为招标人提供相应级别等级保护测评实施工作，包括安全物理环境、安全通信网络、安全区域边界、安全计算环境、安全管理中心，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both"/>
              <w:outlineLvl w:val="2"/>
            </w:pPr>
            <w:r>
              <w:rPr>
                <w:rFonts w:ascii="仿宋_GB2312" w:hAnsi="仿宋_GB2312" w:cs="仿宋_GB2312" w:eastAsia="仿宋_GB2312"/>
                <w:sz w:val="21"/>
                <w:b/>
              </w:rPr>
              <w:t>1.定级：</w:t>
            </w:r>
          </w:p>
          <w:p>
            <w:pPr>
              <w:pStyle w:val="null3"/>
              <w:jc w:val="both"/>
              <w:outlineLvl w:val="2"/>
            </w:pPr>
            <w:r>
              <w:rPr>
                <w:rFonts w:ascii="仿宋_GB2312" w:hAnsi="仿宋_GB2312" w:cs="仿宋_GB2312" w:eastAsia="仿宋_GB2312"/>
                <w:sz w:val="21"/>
                <w:b/>
              </w:rPr>
              <w:t>该主要依据是《</w:t>
            </w:r>
            <w:r>
              <w:rPr>
                <w:rFonts w:ascii="仿宋_GB2312" w:hAnsi="仿宋_GB2312" w:cs="仿宋_GB2312" w:eastAsia="仿宋_GB2312"/>
                <w:sz w:val="21"/>
                <w:b/>
              </w:rPr>
              <w:t>信息安全技术-</w:t>
            </w:r>
            <w:r>
              <w:rPr>
                <w:rFonts w:ascii="仿宋_GB2312" w:hAnsi="仿宋_GB2312" w:cs="仿宋_GB2312" w:eastAsia="仿宋_GB2312"/>
                <w:sz w:val="21"/>
                <w:b/>
              </w:rPr>
              <w:t>网络安全等级保护定级指南》（GB/T 22240-2020）确定系统等级。</w:t>
            </w:r>
          </w:p>
          <w:p>
            <w:pPr>
              <w:pStyle w:val="null3"/>
              <w:jc w:val="both"/>
              <w:outlineLvl w:val="2"/>
            </w:pPr>
            <w:r>
              <w:rPr>
                <w:rFonts w:ascii="仿宋_GB2312" w:hAnsi="仿宋_GB2312" w:cs="仿宋_GB2312" w:eastAsia="仿宋_GB2312"/>
                <w:sz w:val="21"/>
                <w:b/>
              </w:rPr>
              <w:t>2.</w:t>
            </w:r>
            <w:r>
              <w:rPr>
                <w:rFonts w:ascii="仿宋_GB2312" w:hAnsi="仿宋_GB2312" w:cs="仿宋_GB2312" w:eastAsia="仿宋_GB2312"/>
                <w:sz w:val="21"/>
                <w:b/>
              </w:rPr>
              <w:t>备案</w:t>
            </w:r>
          </w:p>
          <w:p>
            <w:pPr>
              <w:pStyle w:val="null3"/>
              <w:ind w:firstLine="420"/>
              <w:jc w:val="both"/>
            </w:pPr>
            <w:r>
              <w:rPr>
                <w:rFonts w:ascii="仿宋_GB2312" w:hAnsi="仿宋_GB2312" w:cs="仿宋_GB2312" w:eastAsia="仿宋_GB2312"/>
                <w:sz w:val="21"/>
              </w:rPr>
              <w:t>信息系统的安全保护等级确定后，二级以上（含二级）信息系统的运营使用单位或主管部门应到属地公安机关办理备案手续。完成备案的信息系统，将获得公安机关颁发的《信息系统安全等级保护备案证明》。</w:t>
            </w:r>
          </w:p>
          <w:p>
            <w:pPr>
              <w:pStyle w:val="null3"/>
              <w:jc w:val="both"/>
              <w:outlineLvl w:val="2"/>
            </w:pPr>
            <w:r>
              <w:rPr>
                <w:rFonts w:ascii="仿宋_GB2312" w:hAnsi="仿宋_GB2312" w:cs="仿宋_GB2312" w:eastAsia="仿宋_GB2312"/>
                <w:sz w:val="21"/>
                <w:b/>
              </w:rPr>
              <w:t>3.制定保护工作方案：</w:t>
            </w:r>
          </w:p>
          <w:p>
            <w:pPr>
              <w:pStyle w:val="null3"/>
              <w:jc w:val="both"/>
              <w:outlineLvl w:val="2"/>
            </w:pPr>
            <w:r>
              <w:rPr>
                <w:rFonts w:ascii="仿宋_GB2312" w:hAnsi="仿宋_GB2312" w:cs="仿宋_GB2312" w:eastAsia="仿宋_GB2312"/>
                <w:sz w:val="21"/>
                <w:b/>
              </w:rPr>
              <w:t>如信息系统定级为等保三级系统，需结合实际制定保护工作方案。</w:t>
            </w:r>
          </w:p>
          <w:p>
            <w:pPr>
              <w:pStyle w:val="null3"/>
              <w:jc w:val="both"/>
              <w:outlineLvl w:val="2"/>
            </w:pPr>
            <w:r>
              <w:rPr>
                <w:rFonts w:ascii="仿宋_GB2312" w:hAnsi="仿宋_GB2312" w:cs="仿宋_GB2312" w:eastAsia="仿宋_GB2312"/>
                <w:sz w:val="21"/>
                <w:b/>
              </w:rPr>
              <w:t>4.提出整改建议：</w:t>
            </w:r>
          </w:p>
          <w:p>
            <w:pPr>
              <w:pStyle w:val="null3"/>
              <w:jc w:val="both"/>
              <w:outlineLvl w:val="2"/>
            </w:pPr>
            <w:r>
              <w:rPr>
                <w:rFonts w:ascii="仿宋_GB2312" w:hAnsi="仿宋_GB2312" w:cs="仿宋_GB2312" w:eastAsia="仿宋_GB2312"/>
                <w:sz w:val="21"/>
                <w:b/>
              </w:rPr>
              <w:t>对信息系统安全情况与等级保护基本要求的差距进行风险分析，并出具科学合理的整改建议。</w:t>
            </w:r>
          </w:p>
          <w:p>
            <w:pPr>
              <w:pStyle w:val="null3"/>
              <w:jc w:val="both"/>
              <w:outlineLvl w:val="2"/>
            </w:pPr>
            <w:r>
              <w:rPr>
                <w:rFonts w:ascii="仿宋_GB2312" w:hAnsi="仿宋_GB2312" w:cs="仿宋_GB2312" w:eastAsia="仿宋_GB2312"/>
                <w:sz w:val="21"/>
                <w:b/>
              </w:rPr>
              <w:t>5.等级测评：</w:t>
            </w:r>
          </w:p>
          <w:p>
            <w:pPr>
              <w:pStyle w:val="null3"/>
              <w:jc w:val="both"/>
              <w:outlineLvl w:val="2"/>
            </w:pPr>
            <w:r>
              <w:rPr>
                <w:rFonts w:ascii="仿宋_GB2312" w:hAnsi="仿宋_GB2312" w:cs="仿宋_GB2312" w:eastAsia="仿宋_GB2312"/>
                <w:sz w:val="21"/>
                <w:b/>
              </w:rPr>
              <w:t>通过测评准备、系统调研、测评方案编制、现场测评、分析与报告编制等工作流程给出等级测评结论，最终形成加盖公司公章及测评章的《网络安全等级保护测评报告》文本。</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标的名称：网络安全等级测评服务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1"/>
                <w:b/>
              </w:rPr>
              <w:t>投标人应依据《信息安全技术-网络安全等级保护基本要求》（GB/T22239-2019）、《信息安全技术-网络安全等级保护测评要求》（GB/T 28448-2019）、《信息安全技术-网络安全等级保护测评过程指南（GB/T 28449-2018）</w:t>
            </w:r>
            <w:r>
              <w:rPr>
                <w:rFonts w:ascii="仿宋_GB2312" w:hAnsi="仿宋_GB2312" w:cs="仿宋_GB2312" w:eastAsia="仿宋_GB2312"/>
                <w:sz w:val="21"/>
                <w:b/>
              </w:rPr>
              <w:t>等国家关于网络安全等级保护2.0的相关标准和规范要求，为招标人提供相应级别等级保护测评实施工作，包括安全物理环境、安全通信网络、安全区域边界、安全计算环境、安全管理中心，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both"/>
              <w:outlineLvl w:val="2"/>
            </w:pPr>
            <w:r>
              <w:rPr>
                <w:rFonts w:ascii="仿宋_GB2312" w:hAnsi="仿宋_GB2312" w:cs="仿宋_GB2312" w:eastAsia="仿宋_GB2312"/>
                <w:sz w:val="21"/>
                <w:b/>
              </w:rPr>
              <w:t>1.定级：</w:t>
            </w:r>
          </w:p>
          <w:p>
            <w:pPr>
              <w:pStyle w:val="null3"/>
              <w:jc w:val="both"/>
              <w:outlineLvl w:val="2"/>
            </w:pPr>
            <w:r>
              <w:rPr>
                <w:rFonts w:ascii="仿宋_GB2312" w:hAnsi="仿宋_GB2312" w:cs="仿宋_GB2312" w:eastAsia="仿宋_GB2312"/>
                <w:sz w:val="21"/>
                <w:b/>
              </w:rPr>
              <w:t>该主要依据是《信息安全技术-网络安全等级保护定级指南》（GB/T 22240-2020）确定系统等级。</w:t>
            </w:r>
          </w:p>
          <w:p>
            <w:pPr>
              <w:pStyle w:val="null3"/>
              <w:jc w:val="both"/>
              <w:outlineLvl w:val="2"/>
            </w:pPr>
            <w:r>
              <w:rPr>
                <w:rFonts w:ascii="仿宋_GB2312" w:hAnsi="仿宋_GB2312" w:cs="仿宋_GB2312" w:eastAsia="仿宋_GB2312"/>
                <w:sz w:val="21"/>
                <w:b/>
              </w:rPr>
              <w:t>2.</w:t>
            </w:r>
            <w:r>
              <w:rPr>
                <w:rFonts w:ascii="仿宋_GB2312" w:hAnsi="仿宋_GB2312" w:cs="仿宋_GB2312" w:eastAsia="仿宋_GB2312"/>
                <w:sz w:val="21"/>
                <w:b/>
              </w:rPr>
              <w:t>备案</w:t>
            </w:r>
          </w:p>
          <w:p>
            <w:pPr>
              <w:pStyle w:val="null3"/>
              <w:ind w:firstLine="420"/>
              <w:jc w:val="both"/>
            </w:pPr>
            <w:r>
              <w:rPr>
                <w:rFonts w:ascii="仿宋_GB2312" w:hAnsi="仿宋_GB2312" w:cs="仿宋_GB2312" w:eastAsia="仿宋_GB2312"/>
                <w:sz w:val="21"/>
              </w:rPr>
              <w:t>信息系统的安全保护等级确定后，二级以上（含二级）信息系统的运营使用单位或主管部门应到属地公安机关办理备案手续。完成备案的信息系统，将获得公安机关颁发的《信息系统安全等级保护备案证明》。</w:t>
            </w:r>
          </w:p>
          <w:p>
            <w:pPr>
              <w:pStyle w:val="null3"/>
              <w:jc w:val="both"/>
              <w:outlineLvl w:val="2"/>
            </w:pPr>
            <w:r>
              <w:rPr>
                <w:rFonts w:ascii="仿宋_GB2312" w:hAnsi="仿宋_GB2312" w:cs="仿宋_GB2312" w:eastAsia="仿宋_GB2312"/>
                <w:sz w:val="21"/>
                <w:b/>
              </w:rPr>
              <w:t>3.制定保护工作方案：</w:t>
            </w:r>
          </w:p>
          <w:p>
            <w:pPr>
              <w:pStyle w:val="null3"/>
              <w:jc w:val="both"/>
              <w:outlineLvl w:val="2"/>
            </w:pPr>
            <w:r>
              <w:rPr>
                <w:rFonts w:ascii="仿宋_GB2312" w:hAnsi="仿宋_GB2312" w:cs="仿宋_GB2312" w:eastAsia="仿宋_GB2312"/>
                <w:sz w:val="21"/>
                <w:b/>
              </w:rPr>
              <w:t>如信息系统定级为等保三级系统，需结合实际制定保护工作方案。</w:t>
            </w:r>
          </w:p>
          <w:p>
            <w:pPr>
              <w:pStyle w:val="null3"/>
              <w:jc w:val="both"/>
              <w:outlineLvl w:val="2"/>
            </w:pPr>
            <w:r>
              <w:rPr>
                <w:rFonts w:ascii="仿宋_GB2312" w:hAnsi="仿宋_GB2312" w:cs="仿宋_GB2312" w:eastAsia="仿宋_GB2312"/>
                <w:sz w:val="21"/>
                <w:b/>
              </w:rPr>
              <w:t>4.提出整改建议：</w:t>
            </w:r>
          </w:p>
          <w:p>
            <w:pPr>
              <w:pStyle w:val="null3"/>
              <w:jc w:val="both"/>
              <w:outlineLvl w:val="2"/>
            </w:pPr>
            <w:r>
              <w:rPr>
                <w:rFonts w:ascii="仿宋_GB2312" w:hAnsi="仿宋_GB2312" w:cs="仿宋_GB2312" w:eastAsia="仿宋_GB2312"/>
                <w:sz w:val="21"/>
                <w:b/>
              </w:rPr>
              <w:t>对信息系统安全情况与等级保护基本要求的差距进行风险分析，并出具科学合理的整改建议。</w:t>
            </w:r>
          </w:p>
          <w:p>
            <w:pPr>
              <w:pStyle w:val="null3"/>
              <w:jc w:val="both"/>
              <w:outlineLvl w:val="2"/>
            </w:pPr>
            <w:r>
              <w:rPr>
                <w:rFonts w:ascii="仿宋_GB2312" w:hAnsi="仿宋_GB2312" w:cs="仿宋_GB2312" w:eastAsia="仿宋_GB2312"/>
                <w:sz w:val="21"/>
                <w:b/>
              </w:rPr>
              <w:t>5.等级测评：</w:t>
            </w:r>
          </w:p>
          <w:p>
            <w:pPr>
              <w:pStyle w:val="null3"/>
              <w:jc w:val="both"/>
              <w:outlineLvl w:val="2"/>
            </w:pPr>
            <w:r>
              <w:rPr>
                <w:rFonts w:ascii="仿宋_GB2312" w:hAnsi="仿宋_GB2312" w:cs="仿宋_GB2312" w:eastAsia="仿宋_GB2312"/>
                <w:sz w:val="21"/>
                <w:b/>
              </w:rPr>
              <w:t>通过测评准备、系统调研、测评方案编制、现场测评、分析与报告编制等工作流程给出等级测评结论，最终形成加盖公司公章及测评章的《网络安全等级保护测评报告》文本。</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投标人所配备的团队人员数量至少16人，其中项目经理不少于1名，中级测评师不少于5名，初级测评师不少于10名。项目经理需具有高级测评师证书。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投标人所配备的团队人员数量至少16人，其中项目经理不少于1名，中级测评师不少于5名，初级测评师不少于10名。项目经理需具有高级测评师证书。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投标人所配备的团队人员数量至少16人，其中项目经理不少于1名，中级测评师不少于5名，初级测评师不少于10名。项目经理需具有高级测评师证书。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根据项目需求配备相关设备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根据项目需求配备相关设备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根据项目需求配备相关设备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1.服务保障要求：投标人应需充分考虑本项目的具体需求、特点以及自身的专业能力，结合自身优势，从项目组织、人员分配、进度保障、售后服务等方面，为招标人提供切实可行、科学合理的服务。 2.数据分析要求：投标人在本项目包所有测评工作完成后，对本项目包所有信息系统的测评结果数据进行收集、分析、汇总，形成测评结果数据分析报告，以便为后续的网络安全管理工作提供数据支持。 3.风险管理：投标人应制定对本项目潜在风险识别、评估和应对策略。通过系统性的风险管理流程，前瞻性地察觉可能面临的威胁，并及时采取措施加以规避或减轻。同时，建立完善的风险管理制度和体系，有效防止各类风险事件。 4.保密要求：投标人及提供服务的人员须遵循保密原则，对开展等级保护测评工作涉及到的网络、主机、系统软件、应用软件等的密码、核心参数、业务数据、重要文档等负有保密责任，不得随意复制和传播。投标人与提供服 务的人员应签订保密协议，并负有相应保密责任。 5.考核要求：招标人有权对投标人工作的服务质量进行系统化管理和客观评价，考核的评价结果作为招标人向投标人支付费用的依据。 6.交付成果要求：每个系统对应的《网络安全等级保护测评报告》纸质版(不少于3份)及电子版，报告需通过相关部门认可，符合等级保护备案及监管要求。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1.服务保障要求：投标人应需充分考虑本项目的具体需求、特点以及自身的专业能力，结合自身优势，从项目组织、人员分配、进度保障、售后服务等方面，为招标人提供切实可行、科学合理的服务。 2.数据分析要求：投标人在本项目包所有测评工作完成后，对本项目包所有信息系统的测评结果数据进行收集、分析、汇总，形成测评结果数据分析报告，以便为后续的网络安全管理工作提供数据支持。 3.风险管理：投标人应制定对本项目潜在风险识别、评估和应对策略。通过系统性的风险管理流程，前瞻性地察觉可能面临的威胁，并及时采取措施加以规避或减轻。同时，建立完善的风险管理制度和体系，有效防止各类风险事件。 4.保密要求：投标人及提供服务的人员须遵循保密原则，对开展等级保护测评工作涉及到的网络、主机、系统软件、应用软件等的密码、核心参数、业务数据、重要文档等负有保密责任，不得随意复制和传播。投标人与提供服 务的人员应签订保密协议，并负有相应保密责任。 5.考核要求：招标人有权对投标人工作的服务质量进行系统化管理和客观评价，考核的评价结果作为招标人向投标人支付费用的依据。 6.交付成果要求：每个系统对应的《网络安全等级保护测评报告》纸质版(不少于3份)及电子版，报告需通过相关部门认可，符合等级保护备案及监管要求。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1.服务保障要求：投标人应需充分考虑本项目的具体需求、特点以及自身的专业能力，结合自身优势，从项目组织、人员分配、进度保障、售后服务等方面，为招标人提供切实可行、科学合理的服务。 2.数据分析要求：投标人在本项目包所有测评工作完成后，对本项目包所有信息系统的测评结果数据进行收集、分析、汇总，形成测评结果数据分析报告，以便为后续的网络安全管理工作提供数据支持。 3.风险管理：投标人应制定对本项目潜在风险识别、评估和应对策略。通过系统性的风险管理流程，前瞻性地察觉可能面临的威胁，并及时采取措施加以规避或减轻。同时，建立完善的风险管理制度和体系，有效防止各类风险事件。 4.保密要求：投标人及提供服务的人员须遵循保密原则，对开展等级保护测评工作涉及到的网络、主机、系统软件、应用软件等的密码、核心参数、业务数据、重要文档等负有保密责任，不得随意复制和传播。投标人与提供服 务的人员应签订保密协议，并负有相应保密责任。 5.考核要求：招标人有权对投标人工作的服务质量进行系统化管理和客观评价，考核的评价结果作为招标人向投标人支付费用的依据。 6.交付成果要求：每个系统对应的《网络安全等级保护测评报告》纸质版(不少于3份)及电子版，报告需通过相关部门认可，符合等级保护备案及监管要求。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自合同签订之日起6个月内完成全部系统的测评工作并交付测评报告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自合同签订之日起6个月内完成全部系统的测评工作并交付测评报告。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自合同签订之日起6个月内完成全部系统的测评工作并交付测评报告。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先由服务商进行自检，服务商自检需满足：测评报告完整覆盖所有约定系统、无数据错误、符合国家等保2.0相关标准，提供自检报告及佐证材料；自检合格后，由各部门确认服务商的自检内容，组织有关专家进行验收，验收时服务商应派人员参加，共同对验收结果进行确认，并承担相关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先由服务商进行自检，服务商自检需满足：测评报告完整覆盖所有约定系统、无数据错误、符合国家等保2.0相关标准，提供自检报告及佐证材料；自检合格后，由各部门确认服务商的自检内容，组织有关专家进行验收，验收时服务商应派人员参加，共同对验收结果进行确认，并承担相关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先由服务商进行自检，服务商自检需满足：测评报告完整覆盖所有约定系统、无数据错误、符合国家等保2.0相关标准，提供自检报告及佐证材料；自检合格后，由各部门确认服务商的自检内容，组织有关专家进行验收，验收时服务商应派人员参加，共同对验收结果进行确认，并承担相关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合同签订后，服务商团队人员到场(提供社保缴纳证明及现场确认单)、测评设备就位并经招标人书面确认具备服务能力后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本项目服务商完成合同约定测评数量，出具整改报告后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本项目所有包的服务商均完成合同约定服务内容或服务期满6个月后，项目验收通过，指导各单位完成整改复测合格后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合同签订后，服务商团队人员到场(提供社保缴纳证明及现场确认单)、测评设备就位并经招标人书面确认具备服务能力后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本项目服务商完成合同约定测评数量，出具整改报告后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本项目所有包的服务商均完成合同约定服务内容或服务期满6个月后，项目验收通过，指导各单位完成整改复测合格后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合同签订后，服务商团队人员到场(提供社保缴纳证明及现场确认单)、测评设备就位并经招标人书面确认具备服务能力后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本项目服务商完成合同约定测评数量，出具整改报告后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本项目所有包的服务商均完成合同约定服务内容或服务期满6个月后，项目验收通过，指导各单位完成整改复测合格后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①采购人违约责任 A.无正当理由拒收服务项目：采购人无正当理由拒收服务的，应偿付合同总价一定比例的违约金，5%。 B.逾期支付款项：采购人逾期支付服务合同款项的，除应及时付足合同款项外，还应以欠款金额为基数，按全国银行间同业拆借中心公布的一年期贷款市场报价利率项供应商支付违约金。逾期满 90 日的，供应商有权终止合同。 C.提前终止合同：合同签订后，由于采购人原因提前终止合同的，采购人应按已完成的工作量全额支付供应商费用。 ②供应商违约责任 A.擅自中途停止或解除合同：合同签订后，如供应商擅自中途停止或解除合同，应向采购人支付合同总价 5%的违约金，并退还采购人已经支付的相关费用，同时赔偿采购人因此造成的直接损失。 B.逾期提供服务：供应商不能按时提供服务或逾期提供服务的，除应及时提供服务外，应向采购人偿付逾期提供部分服务总额万分之五/天的违约金；逾期超过 30 日的，采购人有权终止合同，供应商应按合同总价 5%向采购人偿付违约金，并全额退还采购人已付服务费及按同期 LPR 贷款利率计算的利息。 C.服务质量不合格：供应商提供的质量不合格（如不符合政策要求、数据错误、内容漏项等）的，应负责返工或采取补救措施，直至达到质量要求，产生的费用由供应商承担；若逾期未整改达标或整改后仍不合格的，供应商应对由此造成的全部损失负赔偿责任，并承担相应法律责任，采购人有权酌情扣减合同总价 10%-30%的款项。 D.瑕疵履行合同：供应商瑕疵履行采购合同（如格式不规范、交付内容不足、技术咨询响应不及时等非根本性违约情形）的，采购人有权要求供应商赔偿合同总价款 5%的违约金；若造成相关损失的，供应商需承担全部赔偿责任，且需在采购人规定时限内整改到位。 E.供应商提供的服务质量不符合合同约定及技术标准的，应在采购人规定的时限内（最长不超过 3 个工作日）完成整改。整改后经验收合格的，不扣减合同款项；若第一次整改不合格，扣减合同总价 10%；第二次整改仍不合格，扣减合同总价 20%；第三次整改仍未达标的，采购人有权解除合同，供应商应退还采购人已支付的全部款项，并赔偿合同总价 30%的违约金及采购人因此造成的直接损失。 扣减比例的判定由采购人组织专家依据验收报告确定，具体扣减金额=合同 总价×对应扣减比例，扣减款项从尚未支付的合同款中直接抵扣。 （2）争议解决方法 ①协商：双方应首先尝试通过友好协商的方式解决争议，明确各自的责任和义务，协商达成一致的解决方案，如继续履行合同、赔偿损失、变更合同条款等。 ②调解：如果双方协商不成，可以寻求第三方调解机构的帮助，如行业协会、商会等。调解机构会根据双方的情况进行调解，促使双方达成和解协议。 ③仲裁：提交铜川仲裁委员会适用该会的仲裁规则仲裁解决。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①采购人违约责任 A.无正当理由拒收服务项目：采购人无正当理由拒收服务的，应偿付合同总价一定比例的违约金，5%。 B.逾期支付款项：采购人逾期支付服务合同款项的，除应及时付足合同款项外，还应以欠款金额为基数，按全国银行间同业拆借中心公布的一年期贷款市场报价利率项供应商支付违约金。逾期满 90 日的，供应商有权终止合同。 C.提前终止合同：合同签订后，由于采购人原因提前终止合同的，采购人应按已完成的工作量全额支付供应商费用。 ②供应商违约责任 A.擅自中途停止或解除合同：合同签订后，如供应商擅自中途停止或解除合同，应向采购人支付合同总价 5%的违约金，并退还采购人已经支付的相关费用，同时赔偿采购人因此造成的直接损失。 B.逾期提供服务：供应商不能按时提供服务或逾期提供服务的，除应及时提供服务外，应向采购人偿付逾期提供部分服务总额万分之五/天的违约金；逾期超过 30 日的，采购人有权终止合同，供应商应按合同总价 5%向采购人偿付违约金，并全额退还采购人已付服务费及按同期 LPR 贷款利率计算的利息。 C.服务质量不合格：供应商提供的质量不合格（如不符合政策要求、数据错误、内容漏项等）的，应负责返工或采取补救措施，直至达到质量要求，产生的费用由供应商承担；若逾期未整改达标或整改后仍不合格的，供应商应对由此造成的全部损失负赔偿责任，并承担相应法律责任，采购人有权酌情扣减合同总价 10%-30%的款项。 D.瑕疵履行合同：供应商瑕疵履行采购合同（如格式不规范、交付内容不足、技术咨询响应不及时等非根本性违约情形）的，采购人有权要求供应商赔偿合同总价款 5%的违约金；若造成相关损失的，供应商需承担全部赔偿责任，且需在采购人规定时限内整改到位。 E.供应商提供的服务质量不符合合同约定及技术标准的，应在采购人规定的时限内（最长不超过 3 个工作日）完成整改。整改后经验收合格的，不扣减合同款项；若第一次整改不合格，扣减合同总价 10%；第二次整改仍不合格，扣减合同总价 20%；第三次整改仍未达标的，采购人有权解除合同，供应商应退还采购人已支付的全部款项，并赔偿合同总价 30%的违约金及采购人因此造成的直接损失。 扣减比例的判定由采购人组织专家依据验收报告确定，具体扣减金额=合同 总价×对应扣减比例，扣减款项从尚未支付的合同款中直接抵扣。 （2）争议解决方法 ①协商：双方应首先尝试通过友好协商的方式解决争议，明确各自的责任和义务，协商达成一致的解决方案，如继续履行合同、赔偿损失、变更合同条款等。 ②调解：如果双方协商不成，可以寻求第三方调解机构的帮助，如行业协会、商会等。调解机构会根据双方的情况进行调解，促使双方达成和解协议。 ③仲裁：提交铜川仲裁委员会适用该会的仲裁规则仲裁解决。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 ①采购人违约责任 A.无正当理由拒收服务项目：采购人无正当理由拒收服务的，应偿付合同总价一定比例的违约金，5%。 B.逾期支付款项：采购人逾期支付服务合同款项的，除应及时付足合同款项外，还应以欠款金额为基数，按全国银行间同业拆借中心公布的一年期贷款市场报价利率项供应商支付违约金。逾期满 90 日的，供应商有权终止合同。 C.提前终止合同：合同签订后，由于采购人原因提前终止合同的，采购人应按已完成的工作量全额支付供应商费用。 ②供应商违约责任 A.擅自中途停止或解除合同：合同签订后，如供应商擅自中途停止或解除合同，应向采购人支付合同总价 5%的违约金，并退还采购人已经支付的相关费用，同时赔偿采购人因此造成的直接损失。 B.逾期提供服务：供应商不能按时提供服务或逾期提供服务的，除应及时提供服务外，应向采购人偿付逾期提供部分服务总额万分之五/天的违约金；逾期超过 30 日的，采购人有权终止合同，供应商应按合同总价 5%向采购人偿付违约金，并全额退还采购人已付服务费及按同期 LPR 贷款利率计算的利息。 C.服务质量不合格：供应商提供的质量不合格（如不符合政策要求、数据错误、内容漏项等）的，应负责返工或采取补救措施，直至达到质量要求，产生的费用由供应商承担；若逾期未整改达标或整改后仍不合格的，供应商应对由此造成的全部损失负赔偿责任，并承担相应法律责任，采购人有权酌情扣减合同总价 10%-30%的款项。 D.瑕疵履行合同：供应商瑕疵履行采购合同（如格式不规范、交付内容不足、技术咨询响应不及时等非根本性违约情形）的，采购人有权要求供应商赔偿合同总价款 5%的违约金；若造成相关损失的，供应商需承担全部赔偿责任，且需在采购人规定时限内整改到位。 E.供应商提供的服务质量不符合合同约定及技术标准的，应在采购人规定的时限内（最长不超过 3 个工作日）完成整改。整改后经验收合格的，不扣减合同款项；若第一次整改不合格，扣减合同总价 10%；第二次整改仍不合格，扣减合同总价 20%；第三次整改仍未达标的，采购人有权解除合同，供应商应退还采购人已支付的全部款项，并赔偿合同总价 30%的违约金及采购人因此造成的直接损失。 扣减比例的判定由采购人组织专家依据验收报告确定，具体扣减金额=合同 总价×对应扣减比例，扣减款项从尚未支付的合同款中直接抵扣。 （2）争议解决方法 ①协商：双方应首先尝试通过友好协商的方式解决争议，明确各自的责任和义务，协商达成一致的解决方案，如继续履行合同、赔偿损失、变更合同条款等。 ②调解：如果双方协商不成，可以寻求第三方调解机构的帮助，如行业协会、商会等。调解机构会根据双方的情况进行调解，促使双方达成和解协议。 ③仲裁：提交铜川仲裁委员会适用该会的仲裁规则仲裁解决。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一、报价要求：1.报价需包含完成本项目所有测评服务的全部费用，包括人员费、差旅费、测评费、报告编制费、保密费、税费等一切相关费用。 2.各系统报价需对应《资金明细表》中列明的金额标准，总报价不得超过项目预算合计金额。 3.报价应真实合理，不得虚报、瞒报，否则视为无效报价。 二、其他要求：1.供应商需制定详细的测评实施方案,明确各系统的测评计划、人员安排、时间节点等。 2.测评过程中需配合采购单位的协调工作,遵守各单位的现场管理规定 3.项目实施过程中如遇系统更新、调整等情况，供应商需配合做好补充测评相关工作(费用已包含在总报价中)。 三、为保障等保测评服务质量与服务交付进度，本项目共划分3个采购包，项目执行“兼投不兼中”原则：供应商可对任意1个或多个采购包同时投标，但最多只能中选其中1个采购包；若供应商在多个采购包中均符合中选条件，则按招标文件采购包的先后顺序确定中选供应商，其余采购包自动失去中选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 2023 年或 2024 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②可提供响应文件提交截止日一年内银行出具的资信证明及开户行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 2023 年或 2024 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②可提供响应文件提交截止日一年内银行出具的资信证明及开户行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 2023 年或 2024 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②可提供响应文件提交截止日一年内银行出具的资信证明及开户行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投标人具有公安部颁发的有效期内的《网络安全服务认证证书等级保护测评服务认证》证书；供应商需在项目电子化交易系统中按要求上传相应证明文件并进行电子签章。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保密承诺函</w:t>
            </w:r>
          </w:p>
        </w:tc>
        <w:tc>
          <w:tcPr>
            <w:tcW w:type="dxa" w:w="3322"/>
          </w:tcPr>
          <w:p>
            <w:pPr>
              <w:pStyle w:val="null3"/>
            </w:pPr>
            <w:r>
              <w:rPr>
                <w:rFonts w:ascii="仿宋_GB2312" w:hAnsi="仿宋_GB2312" w:cs="仿宋_GB2312" w:eastAsia="仿宋_GB2312"/>
              </w:rPr>
              <w:t>提供相关承诺；供应商需在项目电子化交易系统中按要求上传相应证明文件并进行电子签章。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投标人具有公安部颁发的有效期内的《网络安全服务认证证书等级保护测评服务认证》证书；供应商需在项目电子化交易系统中按要求上传相应证明文件并进行电子签章。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保密承诺函</w:t>
            </w:r>
          </w:p>
        </w:tc>
        <w:tc>
          <w:tcPr>
            <w:tcW w:type="dxa" w:w="3322"/>
          </w:tcPr>
          <w:p>
            <w:pPr>
              <w:pStyle w:val="null3"/>
            </w:pPr>
            <w:r>
              <w:rPr>
                <w:rFonts w:ascii="仿宋_GB2312" w:hAnsi="仿宋_GB2312" w:cs="仿宋_GB2312" w:eastAsia="仿宋_GB2312"/>
              </w:rPr>
              <w:t>提供相关承诺；供应商需在项目电子化交易系统中按要求上传相应证明文件并进行电子签章。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投标文件递交截止日前6个月内已缴存的至少一个月的纳税证明或完税证明，纳税证明或完税证明上应有代收机构或税务机关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投标文件递交截止日前6个月内已缴纳的至少一个月的社会保障资金缴存单据或社保机构开具的社会保险参保缴费情况证明，单据或证明上应有社保机构或代收机构的公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投标文件递交截止时间之前，投标人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投标人具有公安部颁发的有效期内的《网络安全服务认证证书等级保护测评服务认证》证书；供应商需在项目电子化交易系统中按要求上传相应证明文件并进行电子签章。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保密承诺函</w:t>
            </w:r>
          </w:p>
        </w:tc>
        <w:tc>
          <w:tcPr>
            <w:tcW w:type="dxa" w:w="3322"/>
          </w:tcPr>
          <w:p>
            <w:pPr>
              <w:pStyle w:val="null3"/>
            </w:pPr>
            <w:r>
              <w:rPr>
                <w:rFonts w:ascii="仿宋_GB2312" w:hAnsi="仿宋_GB2312" w:cs="仿宋_GB2312" w:eastAsia="仿宋_GB2312"/>
              </w:rPr>
              <w:t>提供相关承诺；供应商需在项目电子化交易系统中按要求上传相应证明文件并进行电子签章。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 (财库(2006〕90号)、国务院办公厅《关于建立政府强制采购节能产品制度的通知》(国办发〔2007〕51号)、财政部、国家发改委、生态环境部、市监局联合印发《关于调整优化节能产品、环境标志产品政府采 购执行机制的通知》(财库〔2019〕9号);(4)《陕西省财政厅关于加快推进我省中小企业政府采购信用融 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 (财库(2006〕90号)、国务院办公厅《关于建立政府强制采购节能产品制度的通知》(国办发〔2007〕51号)、财政部、国家发改委、生态环境部、市监局联合印发《关于调整优化节能产品、环境标志产品政府采 购执行机制的通知》(财库〔2019〕9号);(4)《陕西省财政厅关于加快推进我省中小企业政府采购信用融 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 (财库(2006〕90号)、国务院办公厅《关于建立政府强制采购节能产品制度的通知》(国办发〔2007〕51号)、财政部、国家发改委、生态环境部、市监局联合印发《关于调整优化节能产品、环境标志产品政府采 购执行机制的通知》(财库〔2019〕9号);(4)《陕西省财政厅关于加快推进我省中小企业政府采购信用融 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投标文件所有报价未超过采购限额</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法人授权书.docx 法人证明书.docx 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法人证明书.docx 服务内容及服务邀请应答表 中小企业声明函 商务应答表 投标人应提交的相关资格证明材料 法人授权书.docx 人员配置.docx 供应商同类项目业绩一览表.docx 投标函 残疾人福利性单位声明函 服务方案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投标文件所有报价未超过采购限额</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法人证明书.docx 服务内容及服务邀请应答表 中小企业声明函 商务应答表 投标人应提交的相关资格证明材料 法人授权书.docx 人员配置.docx 供应商同类项目业绩一览表.docx 投标函 残疾人福利性单位声明函 服务方案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投标文件所有报价未超过采购限额</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法人证明书.docx 服务内容及服务邀请应答表 中小企业声明函 商务应答表 投标人应提交的相关资格证明材料 法人授权书.docx 人员配置.docx 供应商同类项目业绩一览表.docx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为确保所提供技术服务切实可行且能高效完成工作要求，对项目背景理解透彻，项目需求分析全面且符合实际需求，根据投标人响应程度进行评审：对项目背景理解透彻，项目需求分析全面且符合实际需求得5分；对项目背景理解较透彻，项目需求分析较全面，基本符合实际需求得3分；对项目背景理解不到位，项目需求分析不全，与实际需求有偏离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28448-2019）、《信息安全技术-网络安全等级保护测评过程指南》（GB/T 28449-2018）等国家关于网络安全等级保护2.0的相关标准和规范要求，结合招标人要求，所提供方案内容应包括①安全物理环境②安全通信网络③安全区域边界④安全计算环境⑤安全管理中心⑥安全管理制度⑦安全管理机构⑧安全管理人员、⑨安全建设管理⑩安全运维管理⑪漏洞扫描⑫渗透测试部分，说明:以上内容切合本项目实际情况及实施要求，内容全面详细、阐述条理清晰详尽，符合本项目采购需求，能保障本项目实施的得24分。评审内容任意一项缺项或只有标题没有实质性内容扣2分。评审内容任意一项每有一处缺陷扣1分。(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提供网络安全、质量提升等服务方案，方案描述详细且符合招标人实际需求，服务条款明确具备可行性，符合法律法规，根据响应情况进行评审：方案完整详细，切实可行，完全满足招标人实际需求得5分；方案较完整、描述较详细，可行性一般，基本满足招标人实际需求得3分；方案完整性较差、描述清晰度较差、可行性较 差，与招标人实际需求有偏离得1分；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投标人能对所有被测评系统的测评结果进行数据分析，测评结果数据分析方案响应情况进行评审：测评结果数据分析方案描述详细、满足服务要求，切实可行得5分；测评结果数据分析方案描述较为详细、能够满足服务要求，可行性一般得3分；测评结果数据分析方案描述模糊、不能满足服务要求、可行性较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解决方案1</w:t>
            </w:r>
          </w:p>
        </w:tc>
        <w:tc>
          <w:tcPr>
            <w:tcW w:type="dxa" w:w="2492"/>
          </w:tcPr>
          <w:p>
            <w:pPr>
              <w:pStyle w:val="null3"/>
            </w:pPr>
            <w:r>
              <w:rPr>
                <w:rFonts w:ascii="仿宋_GB2312" w:hAnsi="仿宋_GB2312" w:cs="仿宋_GB2312" w:eastAsia="仿宋_GB2312"/>
              </w:rPr>
              <w:t>制定测评对象未通过测评的处置方案，方案中应详细描述未通过原因及相应的处置建议，根据响应程度进行评审：方案详细，处置措施完善，方案中有详细描述未通过原因及相应的处置建议得5分； 方案较详细，处置措施较完善，方案中有描述未通过原因及相应的处置建议得3分；方案较差、处置措施不完善，方案中未描述未通过原因及相应的处置建议得1分；未提供得0分。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解决方案2</w:t>
            </w:r>
          </w:p>
        </w:tc>
        <w:tc>
          <w:tcPr>
            <w:tcW w:type="dxa" w:w="2492"/>
          </w:tcPr>
          <w:p>
            <w:pPr>
              <w:pStyle w:val="null3"/>
            </w:pPr>
            <w:r>
              <w:rPr>
                <w:rFonts w:ascii="仿宋_GB2312" w:hAnsi="仿宋_GB2312" w:cs="仿宋_GB2312" w:eastAsia="仿宋_GB2312"/>
              </w:rPr>
              <w:t>制定高风险项预案，根据响应方案进行评审：方案考虑全面，有完整的预案，预案切实可行得5分；方案较完整全面，可行性一般得3分；方案完整性较差、可行性较差得1分；未提供得0分。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解决方案3</w:t>
            </w:r>
          </w:p>
        </w:tc>
        <w:tc>
          <w:tcPr>
            <w:tcW w:type="dxa" w:w="2492"/>
          </w:tcPr>
          <w:p>
            <w:pPr>
              <w:pStyle w:val="null3"/>
            </w:pPr>
            <w:r>
              <w:rPr>
                <w:rFonts w:ascii="仿宋_GB2312" w:hAnsi="仿宋_GB2312" w:cs="仿宋_GB2312" w:eastAsia="仿宋_GB2312"/>
              </w:rPr>
              <w:t>制定应急处置方案，应对服务过程中的安全风险，解决服务过程中出现的安全事件，根据响应方案进行评审：方案完整详细，内容包含服务过程中的安全风险，解决服务过程中出现的安全事件的内容切实可行得5分；方案较完整，针对服务过程中的安全风险，解决服务过程中出现的安全事件内容有描述，方案可行一般得3分；方案完整性较差、未包含针对服务过程中的安全风险，解决服务过程中出现的安全事件内容、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所配备的团队人员数量至少16人，其中项目经理不少于1名，中级测评师不少于5名，初级测评师不少于10名。（1）项目经理需具有高级测评师证书，完全满足得2分，所提供的人员数量少于上述要求或未提供证明材料的不计分。（2）中级测评师需具有中级及以上的测评师证书，完全满足得3分，所提供的人员数量少于上述要求或未提供证明材料的不计分。（3）初级测评师需具有初级及以上的测评师证书，完全满足得3分，所提供的人员数量少于上述要求或未提供证明材料的不计分。备注：证明材料是以在网络安全等级保护网的查询截图为准，同时提供所有人员近半年内连续3个月在本单位的社保缴纳证明材料或劳动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保障措施1</w:t>
            </w:r>
          </w:p>
        </w:tc>
        <w:tc>
          <w:tcPr>
            <w:tcW w:type="dxa" w:w="2492"/>
          </w:tcPr>
          <w:p>
            <w:pPr>
              <w:pStyle w:val="null3"/>
            </w:pPr>
            <w:r>
              <w:rPr>
                <w:rFonts w:ascii="仿宋_GB2312" w:hAnsi="仿宋_GB2312" w:cs="仿宋_GB2312" w:eastAsia="仿宋_GB2312"/>
              </w:rPr>
              <w:t>服务管理：针对本项目为招标人设计合理的实施计划书，实施计划机制合理、可行且具备全流程管理，根据响应方案进行评审： 实施计划机制合理、切实可行且具备全流程管理得5分；实施计划机制较合理，可行性一般，具备全流 程管理得3分；实施计划机制合理性较差，可行性较差，不具备全流程管理得1分；未提供得0分。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保障措施2</w:t>
            </w:r>
          </w:p>
        </w:tc>
        <w:tc>
          <w:tcPr>
            <w:tcW w:type="dxa" w:w="2492"/>
          </w:tcPr>
          <w:p>
            <w:pPr>
              <w:pStyle w:val="null3"/>
            </w:pPr>
            <w:r>
              <w:rPr>
                <w:rFonts w:ascii="仿宋_GB2312" w:hAnsi="仿宋_GB2312" w:cs="仿宋_GB2312" w:eastAsia="仿宋_GB2312"/>
              </w:rPr>
              <w:t>服务保障内容（包括项目组织、人员分配、进度保障、设备保障、质量保证、风险管理）响应方案进行评审：内容完整详细、可行性和可操作性强得6分；内容较完整、详细度一般，可行性一般得3分；内容不完整、详细度较差、可行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保障措施3</w:t>
            </w:r>
          </w:p>
        </w:tc>
        <w:tc>
          <w:tcPr>
            <w:tcW w:type="dxa" w:w="2492"/>
          </w:tcPr>
          <w:p>
            <w:pPr>
              <w:pStyle w:val="null3"/>
            </w:pPr>
            <w:r>
              <w:rPr>
                <w:rFonts w:ascii="仿宋_GB2312" w:hAnsi="仿宋_GB2312" w:cs="仿宋_GB2312" w:eastAsia="仿宋_GB2312"/>
              </w:rPr>
              <w:t>为确保项目顺利高效实施，投标人应提供快速响应的保障措施方案，根据响应方案进行评审：保障措施方案完整，可操作性强，能够满足招标人需求得6分；保障措施较完整，可操作性较强，较能够满足招标人需求得3分保障措施完整性较差、可操作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保障措施4</w:t>
            </w:r>
          </w:p>
        </w:tc>
        <w:tc>
          <w:tcPr>
            <w:tcW w:type="dxa" w:w="2492"/>
          </w:tcPr>
          <w:p>
            <w:pPr>
              <w:pStyle w:val="null3"/>
            </w:pPr>
            <w:r>
              <w:rPr>
                <w:rFonts w:ascii="仿宋_GB2312" w:hAnsi="仿宋_GB2312" w:cs="仿宋_GB2312" w:eastAsia="仿宋_GB2312"/>
              </w:rPr>
              <w:t>提供保密措施方案进行评审：保密措施内容清晰、考虑全面、防范泄密的措施可靠，得6分；保密措施内容基本清晰、措施基本全面、有一定的措施防范泄密，得3分；保密措施内容不够清晰、措施具有片面性、防范泄密的措施不可靠，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1月1日至今承担过的同类项目业绩(等保测评业绩或包含等保测评内容业绩,以合同签订时间为准），每个业绩得1分，最高得5分。注：须提供完整清晰的合同及中标通知书复印件并加盖公章。以合同签订时间为准，投标人应在投标文件中提供业绩合同和中标通知书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为确保所提供技术服务切实可行且能高效完成工作要求，对项目背景理解透彻，项目需求分析全面且符合实际需求，根据投标人响应程度进行评审：对项目背景理解透彻，项目需求分析全面且符合实际需求得5分；对项目背景理解较透彻，项目需求分析较全面，基本符合实际需求得3分；对项目背景理解不到位，项目需求分析不全，与实际需求有偏离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28448-2019）、《信息安全技术-网络安全等级保护测评过程指南》（GB/T 28449-2018）等国家关于网络安全等级保护2.0的相关标准和规范要求，结合招标人要求，所提供方案内容应包括①安全物理环境②安全通信网络③安全区域边界④安全计算环境⑤安全管理中心⑥安全管理制度⑦安全管理机构⑧安全管理人员、⑨安全建设管理⑩安全运维管理⑪漏洞扫描⑫渗透测试部分，说明:以上内容切合本项目实际情况及实施要求，内容全面详细、阐述条理清晰详尽，符合本项目采购需求，能保障本项目实施的得24分。评审内容任意一项缺项或只有标题没有实质性内容扣2分。评审内容任意一项每有一处缺陷扣1分。(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提供网络安全、质量提升等服务方案，方案描述详细且符合招标人实际需求，服务条款明确具备可行性，符合法律法规，根据响应情况进行评审：方案完整详细，切实可行，完全满足招标人实际需求得5分；方案较完整、描述较详细，可行性一般，基本满足招标人实际需求得3分；方案完整性较差、描述清晰度较差、可行性较 差，与招标人实际需求有偏离得1分；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投标人能对所有被测评系统的测评结果进行数据分析，测评结果数据分析方案响应情况进行评审：测评结果数据分析方案描述详细、满足服务要求，切实可行得5分；测评结果数据分析方案描述较为详细、能够满足服务要求，可行性一般得3分；测评结果数据分析方案描述模糊、不能满足服务要求、可行性较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解决方案1</w:t>
            </w:r>
          </w:p>
        </w:tc>
        <w:tc>
          <w:tcPr>
            <w:tcW w:type="dxa" w:w="2492"/>
          </w:tcPr>
          <w:p>
            <w:pPr>
              <w:pStyle w:val="null3"/>
            </w:pPr>
            <w:r>
              <w:rPr>
                <w:rFonts w:ascii="仿宋_GB2312" w:hAnsi="仿宋_GB2312" w:cs="仿宋_GB2312" w:eastAsia="仿宋_GB2312"/>
              </w:rPr>
              <w:t>制定测评对象未通过测评的处置方案，方案中应详细描述未通过原因及相应的处置建议，根据响应程度进行评审：方案详细，处置措施完善，方案中有详细描述未通过原因及相应的处置建议得5分； 方案较详细，处置措施较完善，方案中有描述未通过原因及相应的处置建议得3分；方案较差、处置措施不完善，方案中未描述未通过原因及相应的处置建议得1分；未提供得0分。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解决方案2</w:t>
            </w:r>
          </w:p>
        </w:tc>
        <w:tc>
          <w:tcPr>
            <w:tcW w:type="dxa" w:w="2492"/>
          </w:tcPr>
          <w:p>
            <w:pPr>
              <w:pStyle w:val="null3"/>
            </w:pPr>
            <w:r>
              <w:rPr>
                <w:rFonts w:ascii="仿宋_GB2312" w:hAnsi="仿宋_GB2312" w:cs="仿宋_GB2312" w:eastAsia="仿宋_GB2312"/>
              </w:rPr>
              <w:t>制定高风险项预案，根据响应方案进行评审：方案考虑全面，有完整的预案，预案切实可行得5分；方案较完整全面，可行性一般得3分；方案完整性较差、可行性较差得1分；未提供得0分。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解决方案3</w:t>
            </w:r>
          </w:p>
        </w:tc>
        <w:tc>
          <w:tcPr>
            <w:tcW w:type="dxa" w:w="2492"/>
          </w:tcPr>
          <w:p>
            <w:pPr>
              <w:pStyle w:val="null3"/>
            </w:pPr>
            <w:r>
              <w:rPr>
                <w:rFonts w:ascii="仿宋_GB2312" w:hAnsi="仿宋_GB2312" w:cs="仿宋_GB2312" w:eastAsia="仿宋_GB2312"/>
              </w:rPr>
              <w:t>制定应急处置方案，应对服务过程中的安全风险，解决服务过程中出现的安全事件，根据响应方案进行评审：方案完整详细，内容包含服务过程中的安全风险，解决服务过程中出现的安全事件的内容切实可行得5分；方案较完整，针对服务过程中的安全风险，解决服务过程中出现的安全事件内容有描述，方案可行一般得3分；方案完整性较差、未包含针对服务过程中的安全风险，解决服务过程中出现的安全事件内容、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所配备的团队人员数量至少16人，其中项目经理不少于1名，中级测评师不少于5名，初级测评师不少于10名。（1）项目经理需具有高级测评师证书，完全满足得2分，所提供的人员数量少于上述要求或未提供证明材料的不计分。（2）中级测评师需具有中级及以上的测评师证书，完全满足得3分，所提供的人员数量少于上述要求或未提供证明材料的不计分。（3）初级测评师需具有初级及以上的测评师证书，完全满足得3分，所提供的人员数量少于上述要求或未提供证明材料的不计分。备注：证明材料是以在网络安全等级保护网的查询截图为准，同时提供所有人员近半年内连续3个月在本单位的社保缴纳证明材料或劳动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保障措施1</w:t>
            </w:r>
          </w:p>
        </w:tc>
        <w:tc>
          <w:tcPr>
            <w:tcW w:type="dxa" w:w="2492"/>
          </w:tcPr>
          <w:p>
            <w:pPr>
              <w:pStyle w:val="null3"/>
            </w:pPr>
            <w:r>
              <w:rPr>
                <w:rFonts w:ascii="仿宋_GB2312" w:hAnsi="仿宋_GB2312" w:cs="仿宋_GB2312" w:eastAsia="仿宋_GB2312"/>
              </w:rPr>
              <w:t>服务管理：针对本项目为招标人设计合理的实施计划书，实施计划机制合理、可行且具备全流程管理，根据响应方案进行评审： 实施计划机制合理、切实可行且具备全流程管理得5分；实施计划机制较合理，可行性一般，具备全流 程管理得3分；实施计划机制合理性较差，可行性较差，不具备全流程管理得1分；未提供得0分。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保障措施2</w:t>
            </w:r>
          </w:p>
        </w:tc>
        <w:tc>
          <w:tcPr>
            <w:tcW w:type="dxa" w:w="2492"/>
          </w:tcPr>
          <w:p>
            <w:pPr>
              <w:pStyle w:val="null3"/>
            </w:pPr>
            <w:r>
              <w:rPr>
                <w:rFonts w:ascii="仿宋_GB2312" w:hAnsi="仿宋_GB2312" w:cs="仿宋_GB2312" w:eastAsia="仿宋_GB2312"/>
              </w:rPr>
              <w:t>服务保障内容（包括项目组织、人员分配、进度保障、设备保障、质量保证、风险管理）响应方案进行评审：内容完整详细、可行性和可操作性强得6分；内容较完整、详细度一般，可行性一般得3分；内容不完整、详细度较差、可行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保障措施3</w:t>
            </w:r>
          </w:p>
        </w:tc>
        <w:tc>
          <w:tcPr>
            <w:tcW w:type="dxa" w:w="2492"/>
          </w:tcPr>
          <w:p>
            <w:pPr>
              <w:pStyle w:val="null3"/>
            </w:pPr>
            <w:r>
              <w:rPr>
                <w:rFonts w:ascii="仿宋_GB2312" w:hAnsi="仿宋_GB2312" w:cs="仿宋_GB2312" w:eastAsia="仿宋_GB2312"/>
              </w:rPr>
              <w:t>为确保项目顺利高效实施，投标人应提供快速响应的保障措施方案，根据响应方案进行评审：保障措施方案完整，可操作性强，能够满足招标人需求得6分；保障措施较完整，可操作性较强，较能够满足招标人需求得3分保障措施完整性较差、可操作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保障措施4</w:t>
            </w:r>
          </w:p>
        </w:tc>
        <w:tc>
          <w:tcPr>
            <w:tcW w:type="dxa" w:w="2492"/>
          </w:tcPr>
          <w:p>
            <w:pPr>
              <w:pStyle w:val="null3"/>
            </w:pPr>
            <w:r>
              <w:rPr>
                <w:rFonts w:ascii="仿宋_GB2312" w:hAnsi="仿宋_GB2312" w:cs="仿宋_GB2312" w:eastAsia="仿宋_GB2312"/>
              </w:rPr>
              <w:t>提供保密措施方案进行评审：保密措施内容清晰、考虑全面、防范泄密的措施可靠，得6分；保密措施内容基本清晰、措施基本全面、有一定的措施防范泄密，得3分；保密措施内容不够清晰、措施具有片面性、防范泄密的措施不可靠，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1月1日至今承担过的同类项目业绩(等保测评业绩或包含等保测评内容业绩,以合同签订时间为准），每个业绩得1分，最高得5分。注：须提供完整清晰的合同及中标通知书复印件并加盖公章。以合同签订时间为准，投标人应在投标文件中提供业绩合同和中标通知书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为确保所提供技术服务切实可行且能高效完成工作要求，对项目背景理解透彻，项目需求分析全面且符合实际需求，根据投标人响应程度进行评审：对项目背景理解透彻，项目需求分析全面且符合实际需求得5分；对项目背景理解较透彻，项目需求分析较全面，基本符合实际需求得3分；对项目背景理解不到位，项目需求分析不全，与实际需求有偏离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28448-2019）、《信息安全技术-网络安全等级保护测评过程指南》（GB/T 28449-2018）等国家关于网络安全等级保护2.0的相关标准和规范要求，结合招标人要求，所提供方案内容应包括①安全物理环境②安全通信网络③安全区域边界④安全计算环境⑤安全管理中心⑥安全管理制度⑦安全管理机构⑧安全管理人员、⑨安全建设管理⑩安全运维管理⑪漏洞扫描⑫渗透测试部分，说明:以上内容切合本项目实际情况及实施要求，内容全面详细、阐述条理清晰详尽，符合本项目采购需求，能保障本项目实施的得24分。评审内容任意一项缺项或只有标题没有实质性内容扣2分。评审内容任意一项每有一处缺陷扣1分。(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服务方案3</w:t>
            </w:r>
          </w:p>
        </w:tc>
        <w:tc>
          <w:tcPr>
            <w:tcW w:type="dxa" w:w="2492"/>
          </w:tcPr>
          <w:p>
            <w:pPr>
              <w:pStyle w:val="null3"/>
            </w:pPr>
            <w:r>
              <w:rPr>
                <w:rFonts w:ascii="仿宋_GB2312" w:hAnsi="仿宋_GB2312" w:cs="仿宋_GB2312" w:eastAsia="仿宋_GB2312"/>
              </w:rPr>
              <w:t>提供网络安全、质量提升等服务方案，方案描述详细且符合招标人实际需求，服务条款明确具备可行性，符合法律法规，根据响应情况进行评审：方案完整详细，切实可行，完全满足招标人实际需求得5分；方案较完整、描述较详细，可行性一般，基本满足招标人实际需求得3分；方案完整性较差、描述清晰度较差、可行性较 差，与招标人实际需求有偏离得1分；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服务方案4</w:t>
            </w:r>
          </w:p>
        </w:tc>
        <w:tc>
          <w:tcPr>
            <w:tcW w:type="dxa" w:w="2492"/>
          </w:tcPr>
          <w:p>
            <w:pPr>
              <w:pStyle w:val="null3"/>
            </w:pPr>
            <w:r>
              <w:rPr>
                <w:rFonts w:ascii="仿宋_GB2312" w:hAnsi="仿宋_GB2312" w:cs="仿宋_GB2312" w:eastAsia="仿宋_GB2312"/>
              </w:rPr>
              <w:t>投标人能对所有被测评系统的测评结果进行数据分析，测评结果数据分析方案响应情况进行评审：测评结果数据分析方案描述详细、满足服务要求，切实可行得5分；测评结果数据分析方案描述较为详细、能够满足服务要求，可行性一般得3分；测评结果数据分析方案描述模糊、不能满足服务要求、可行性较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解决方案1</w:t>
            </w:r>
          </w:p>
        </w:tc>
        <w:tc>
          <w:tcPr>
            <w:tcW w:type="dxa" w:w="2492"/>
          </w:tcPr>
          <w:p>
            <w:pPr>
              <w:pStyle w:val="null3"/>
            </w:pPr>
            <w:r>
              <w:rPr>
                <w:rFonts w:ascii="仿宋_GB2312" w:hAnsi="仿宋_GB2312" w:cs="仿宋_GB2312" w:eastAsia="仿宋_GB2312"/>
              </w:rPr>
              <w:t>制定测评对象未通过测评的处置方案，方案中应详细描述未通过原因及相应的处置建议，根据响应程度进行评审：方案详细，处置措施完善，方案中有详细描述未通过原因及相应的处置建议得5分； 方案较详细，处置措施较完善，方案中有描述未通过原因及相应的处置建议得3分；方案较差、处置措施不完善，方案中未描述未通过原因及相应的处置建议得1分；未提供得0分。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解决方案2</w:t>
            </w:r>
          </w:p>
        </w:tc>
        <w:tc>
          <w:tcPr>
            <w:tcW w:type="dxa" w:w="2492"/>
          </w:tcPr>
          <w:p>
            <w:pPr>
              <w:pStyle w:val="null3"/>
            </w:pPr>
            <w:r>
              <w:rPr>
                <w:rFonts w:ascii="仿宋_GB2312" w:hAnsi="仿宋_GB2312" w:cs="仿宋_GB2312" w:eastAsia="仿宋_GB2312"/>
              </w:rPr>
              <w:t>制定高风险项预案，根据响应方案进行评审：方案考虑全面，有完整的预案，预案切实可行得5分；方案较完整全面，可行性一般得3分；方案完整性较差、可行性较差得1分；未提供得0分。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解决方案3</w:t>
            </w:r>
          </w:p>
        </w:tc>
        <w:tc>
          <w:tcPr>
            <w:tcW w:type="dxa" w:w="2492"/>
          </w:tcPr>
          <w:p>
            <w:pPr>
              <w:pStyle w:val="null3"/>
            </w:pPr>
            <w:r>
              <w:rPr>
                <w:rFonts w:ascii="仿宋_GB2312" w:hAnsi="仿宋_GB2312" w:cs="仿宋_GB2312" w:eastAsia="仿宋_GB2312"/>
              </w:rPr>
              <w:t>制定应急处置方案，应对服务过程中的安全风险，解决服务过程中出现的安全事件，根据响应方案进行评审：方案完整详细，内容包含服务过程中的安全风险，解决服务过程中出现的安全事件的内容切实可行得5分；方案较完整，针对服务过程中的安全风险，解决服务过程中出现的安全事件内容有描述，方案可行一般得3分；方案完整性较差、未包含针对服务过程中的安全风险，解决服务过程中出现的安全事件内容、可行性较差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所配备的团队人员数量至少16人，其中项目经理不少于1名，中级测评师不少于5名，初级测评师不少于10名。（1）项目经理需具有高级测评师证书，完全满足得2分，所提供的人员数量少于上述要求或未提供证明材料的不计分。（2）中级测评师需具有中级及以上的测评师证书，完全满足得3分，所提供的人员数量少于上述要求或未提供证明材料的不计分。（3）初级测评师需具有初级及以上的测评师证书，完全满足得3分，所提供的人员数量少于上述要求或未提供证明材料的不计分。备注：证明材料是以在网络安全等级保护网的查询截图为准，同时提供所有人员近半年内连续3个月在本单位的社保缴纳证明材料或劳动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保障措施1</w:t>
            </w:r>
          </w:p>
        </w:tc>
        <w:tc>
          <w:tcPr>
            <w:tcW w:type="dxa" w:w="2492"/>
          </w:tcPr>
          <w:p>
            <w:pPr>
              <w:pStyle w:val="null3"/>
            </w:pPr>
            <w:r>
              <w:rPr>
                <w:rFonts w:ascii="仿宋_GB2312" w:hAnsi="仿宋_GB2312" w:cs="仿宋_GB2312" w:eastAsia="仿宋_GB2312"/>
              </w:rPr>
              <w:t>服务管理：针对本项目为招标人设计合理的实施计划书，实施计划机制合理、可行且具备全流程管理，根据响应方案进行评审： 实施计划机制合理、切实可行且具备全流程管理得5分；实施计划机制较合理，可行性一般，具备全流 程管理得3分；实施计划机制合理性较差，可行性较差，不具备全流程管理得1分；未提供得0分。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保障措施2</w:t>
            </w:r>
          </w:p>
        </w:tc>
        <w:tc>
          <w:tcPr>
            <w:tcW w:type="dxa" w:w="2492"/>
          </w:tcPr>
          <w:p>
            <w:pPr>
              <w:pStyle w:val="null3"/>
            </w:pPr>
            <w:r>
              <w:rPr>
                <w:rFonts w:ascii="仿宋_GB2312" w:hAnsi="仿宋_GB2312" w:cs="仿宋_GB2312" w:eastAsia="仿宋_GB2312"/>
              </w:rPr>
              <w:t>服务保障内容（包括项目组织、人员分配、进度保障、设备保障、质量保证、风险管理）响应方案进行评审：内容完整详细、可行性和可操作性强得6分；内容较完整、详细度一般，可行性一般得3分；内容不完整、详细度较差、可行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保障措施3</w:t>
            </w:r>
          </w:p>
        </w:tc>
        <w:tc>
          <w:tcPr>
            <w:tcW w:type="dxa" w:w="2492"/>
          </w:tcPr>
          <w:p>
            <w:pPr>
              <w:pStyle w:val="null3"/>
            </w:pPr>
            <w:r>
              <w:rPr>
                <w:rFonts w:ascii="仿宋_GB2312" w:hAnsi="仿宋_GB2312" w:cs="仿宋_GB2312" w:eastAsia="仿宋_GB2312"/>
              </w:rPr>
              <w:t>确保项目顺利高效实施，投标人应提供快速响应的保障措施方案，根据响应方案进行评审：保障措施方案完整，可操作性强，能够满足招标人需求得6分；保障措施较完整，可操作性较强，较能够满足招标人需求得3分保障措施完整性较差、可操作性较差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保障措施4</w:t>
            </w:r>
          </w:p>
        </w:tc>
        <w:tc>
          <w:tcPr>
            <w:tcW w:type="dxa" w:w="2492"/>
          </w:tcPr>
          <w:p>
            <w:pPr>
              <w:pStyle w:val="null3"/>
            </w:pPr>
            <w:r>
              <w:rPr>
                <w:rFonts w:ascii="仿宋_GB2312" w:hAnsi="仿宋_GB2312" w:cs="仿宋_GB2312" w:eastAsia="仿宋_GB2312"/>
              </w:rPr>
              <w:t>提供保密措施方案进行评审：保密措施内容清晰、考虑全面、防范泄密的措施可靠，得6分；保密措施内容基本清晰、措施基本全面、有一定的措施防范泄密，得3分；保密措施内容不够清晰、措施具有片面性、防范泄密的措施不可靠，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1月1日至今承担过的同类项目业绩(等保测评业绩或包含等保测评内容业绩,以合同签订时间为准），每个业绩得1分，最高得5分。注：须提供完整清晰的合同及中标通知书复印件并加盖公章。以合同签订时间为准，投标人应在投标文件中提供业绩合同和中标通知书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