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版本号：TCZFCG-2025-0097620251211001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2026年药王山景区安保服务费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TCZFCG-2025-00976</w:t>
      </w:r>
      <w:r>
        <w:br/>
      </w:r>
      <w:r>
        <w:br/>
      </w:r>
      <w:r>
        <w:br/>
      </w:r>
    </w:p>
    <w:p>
      <w:pPr>
        <w:pStyle w:val="null3"/>
        <w:jc w:val="center"/>
        <w:outlineLvl w:val="2"/>
      </w:pPr>
      <w:r>
        <w:rPr>
          <w:rFonts w:ascii="仿宋_GB2312" w:hAnsi="仿宋_GB2312" w:cs="仿宋_GB2312" w:eastAsia="仿宋_GB2312"/>
          <w:sz w:val="28"/>
          <w:b/>
        </w:rPr>
        <w:t>药王山管理处</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药王山管理处</w:t>
      </w:r>
      <w:r>
        <w:rPr>
          <w:rFonts w:ascii="仿宋_GB2312" w:hAnsi="仿宋_GB2312" w:cs="仿宋_GB2312" w:eastAsia="仿宋_GB2312"/>
        </w:rPr>
        <w:t>委托，拟对</w:t>
      </w:r>
      <w:r>
        <w:rPr>
          <w:rFonts w:ascii="仿宋_GB2312" w:hAnsi="仿宋_GB2312" w:cs="仿宋_GB2312" w:eastAsia="仿宋_GB2312"/>
        </w:rPr>
        <w:t>2026年药王山景区安保服务费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TCZFCG-2025-00976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2026年药王山景区安保服务费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为切实保障药王山景区安全秩序，预防和制止各类突发性事件，及时发现并控制可疑人员及违法犯罪分子，确保景区内各项安全生产工作顺利开展，特开展 2026 年药王山景区安保服务项目，服务要求上，管理目标是在合同期内有效预防制止突发事件、精准发现控制可疑及违法犯罪分子、全方位保障安全生产；管理要求方面，对安保人员实施统一作息、出操、上岗、着装、装备的规范化素质管理，注重提升其思想认识与服务意识，定期开展专业技能培训并建立评比考评机制，要求安保人员为 18 至 60 周岁、身体健康无残疾的合法公民，且保障人证一致、配置到位；考核指标上，安保人员持证上岗率需达 100%，安保服务达标率不低于 98%，车辆停放违停发生率控制在 3%以下且处理率 100%，综合服务考核满意率在 95%以上，安全维护投诉处理率达 100% 。</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采购包1（2026年药王山景区安保服务费）：属于专门面向中小企业采购。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药王山管理处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陕西省铜川市药王山景区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18792926888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采购包1：428,400.00元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药王山管理处</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药王山管理处</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药王山管理处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按照国家法律法规规定执行。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药王山管理处</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地址：铜川市新区齐庆路中段人社大厦3楼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为切实保障药王山景区安全秩序，预防和制止各类突发性事件，及时发现并控制可疑人员及违法犯罪分子，确保景区内各项安全生产工作顺利开展，特开展 2026 年药王山景区安保服务项目，为景区配置 17 名男性保安人员。服务要求上，管理目标是在合同期内有效预防制止突发事件、精准发现控制可疑及违法犯罪分子、全方位保障安全生产；管理要求方面，对安保人员实施统一作息、出操、上岗、着装、装备的规范化素质管理，注重提升其思想认识与服务意识，定期开展专业技能培训并建立评比考评机制，要求安保人员为 18 至 60 周岁、身体健康无残疾的合法公民，且保障人证一致、配置到位；考核指标上，安保人员持证上岗率需达 100%，安保服务达标率不低于 98%，车辆停放违停发生率控制在 3%以下且处理率 100%，综合服务考核满意率在 95%以上，安全维护投诉处理率达 100% 。</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428,400.00</w:t>
      </w:r>
    </w:p>
    <w:p>
      <w:pPr>
        <w:pStyle w:val="null3"/>
      </w:pPr>
      <w:r>
        <w:rPr>
          <w:rFonts w:ascii="仿宋_GB2312" w:hAnsi="仿宋_GB2312" w:cs="仿宋_GB2312" w:eastAsia="仿宋_GB2312"/>
        </w:rPr>
        <w:t>采购包最高限价（元）: 428,400.00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2026年药王山景区安保服务费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428,400.00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标的名称：2026年药王山景区安保服务费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为景区配置 17 名男性保安人员。要求安保人员年龄为 18 至 60 周岁、身体健康无残疾的合法公民，且保障人证一致、配置到位 。</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2026年1月1日-12月31日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药王山景区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一季度末</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二季度末</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三季度末</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四季度末</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有效存续营业执照；社保缴纳证明：近期已缴存的社会保障资金缴存单据或社保机构开具的社会保险参保缴费情况证明。依法不需要缴纳社会保障资金的供应商应提供相关文件证明；税收缴纳证明：近期已缴纳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善的财务制度。财务状况报告（二选一）：①提供近期经审计的财务会计报告（至少包括审计报告、资产负债表和利润表，成立时间至提交投标文件截止时间不足一年的可提供成立后任意时段的资产负债表）；②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中小企业声明函、残疾人福利性单位声明函、监狱企业的证明文件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标的清单 供应商应提交的相关资格证明材料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针对本次采购项目内容及要求，对供应商响应文件中的服务方案、服务目标、服务内容等完整性、科学性、合理性进行综合评审。根据各供应商响应情况：计0-18分。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服务质量及承诺</w:t>
            </w:r>
          </w:p>
        </w:tc>
        <w:tc>
          <w:tcPr>
            <w:tcW w:type="dxa" w:w="2492"/>
          </w:tcPr>
          <w:p>
            <w:pPr>
              <w:pStyle w:val="null3"/>
            </w:pPr>
            <w:r>
              <w:rPr>
                <w:rFonts w:ascii="仿宋_GB2312" w:hAnsi="仿宋_GB2312" w:cs="仿宋_GB2312" w:eastAsia="仿宋_GB2312"/>
              </w:rPr>
              <w:t>具有服务质量保障措施方案，制定详细的服务保障计划，有定期回访服务对象相关负责人的安排方案及意见反馈机制，计划措施到位。承诺接受采购对象对所提供安保服务的监督批评及意见建议，并能做出反应，并接受处罚。不承诺或者承诺较差得0分；承诺积极可行具有一定的可执行性得1-5分；承诺积极可行具有较好可执行性得6-11分；承诺积极可行具有较好可执行性且有具体的科学可行的措施得12-16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管理制度与措施</w:t>
            </w:r>
          </w:p>
        </w:tc>
        <w:tc>
          <w:tcPr>
            <w:tcW w:type="dxa" w:w="2492"/>
          </w:tcPr>
          <w:p>
            <w:pPr>
              <w:pStyle w:val="null3"/>
            </w:pPr>
            <w:r>
              <w:rPr>
                <w:rFonts w:ascii="仿宋_GB2312" w:hAnsi="仿宋_GB2312" w:cs="仿宋_GB2312" w:eastAsia="仿宋_GB2312"/>
              </w:rPr>
              <w:t>编制项目管理机构、工作职能组织运行图，阐述项目经理的管理职责、内部管理的职责分工，日常管理制度完善、程序规范，符合项目实际需求，根据各供应商响应情况计0-10分。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磋商人根据本磋商范围安保服务需求及项目特点，在有效管理区域内，磋商人需提供针对本项目特征及风险点，来制定有效各种应急预案、处置流程和善后处置方案并合理可行，有效应对、快速处理。 应急保障措施全面、有效、合理、规范，可实施性强，得7-10分；应急保障措施有效、合理，具有一定实施性，得3-6分；应急保障措施简单、不规范，得0-3分。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能够提供自2023年1月至今安保服务的类似业绩，每项计2分，本项最高得6分。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项目需求配备专业的保安主管，应当具备：①大专学历及以上；②保安上岗证；③5年以上类似项目从业经验及2年以上保安主管从业经验，得2分。不满足不得分；保安人员需提供保安上岗证。每提供一证得0.5分，总分8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经资格评审合格的供应商的最低报价为基准价，其供应商磋商报价等于基准价得30分； 其他各供应商的报价得分按下列公式计算：（基准价/磋商报价）×30×100%。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