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15EFC3">
      <w:pPr>
        <w:spacing w:line="360" w:lineRule="auto"/>
        <w:jc w:val="center"/>
        <w:rPr>
          <w:rFonts w:hint="eastAsia" w:ascii="仿宋" w:hAnsi="仿宋" w:eastAsia="仿宋" w:cs="宋体"/>
          <w:b/>
          <w:bCs/>
          <w:color w:val="auto"/>
          <w:sz w:val="52"/>
          <w:szCs w:val="52"/>
          <w:highlight w:val="none"/>
        </w:rPr>
      </w:pPr>
    </w:p>
    <w:p w14:paraId="30917386">
      <w:pPr>
        <w:spacing w:line="360" w:lineRule="auto"/>
        <w:jc w:val="center"/>
        <w:rPr>
          <w:rFonts w:hint="eastAsia" w:ascii="仿宋" w:hAnsi="仿宋" w:eastAsia="仿宋" w:cs="宋体"/>
          <w:b/>
          <w:bCs/>
          <w:color w:val="auto"/>
          <w:sz w:val="52"/>
          <w:szCs w:val="52"/>
          <w:highlight w:val="none"/>
        </w:rPr>
      </w:pPr>
    </w:p>
    <w:p w14:paraId="34F0DAA8">
      <w:pPr>
        <w:spacing w:line="360" w:lineRule="auto"/>
        <w:jc w:val="center"/>
        <w:rPr>
          <w:rFonts w:ascii="仿宋" w:hAnsi="仿宋" w:eastAsia="仿宋" w:cs="宋体"/>
          <w:b/>
          <w:bCs/>
          <w:color w:val="auto"/>
          <w:sz w:val="52"/>
          <w:szCs w:val="52"/>
          <w:highlight w:val="none"/>
        </w:rPr>
      </w:pPr>
      <w:r>
        <w:rPr>
          <w:rFonts w:hint="eastAsia" w:ascii="仿宋" w:hAnsi="仿宋" w:eastAsia="仿宋" w:cs="宋体"/>
          <w:b/>
          <w:bCs/>
          <w:color w:val="auto"/>
          <w:sz w:val="52"/>
          <w:szCs w:val="52"/>
          <w:highlight w:val="none"/>
        </w:rPr>
        <w:t>陕西省建设工程施工合同</w:t>
      </w:r>
    </w:p>
    <w:p w14:paraId="779AC097">
      <w:pPr>
        <w:spacing w:line="360" w:lineRule="auto"/>
        <w:jc w:val="center"/>
        <w:rPr>
          <w:rFonts w:ascii="仿宋" w:hAnsi="仿宋" w:eastAsia="仿宋" w:cs="宋体"/>
          <w:b/>
          <w:bCs/>
          <w:color w:val="auto"/>
          <w:sz w:val="36"/>
          <w:szCs w:val="36"/>
          <w:highlight w:val="none"/>
        </w:rPr>
      </w:pPr>
      <w:bookmarkStart w:id="13" w:name="_GoBack"/>
      <w:bookmarkEnd w:id="13"/>
    </w:p>
    <w:p w14:paraId="58B12128">
      <w:pPr>
        <w:spacing w:line="360" w:lineRule="auto"/>
        <w:jc w:val="center"/>
        <w:rPr>
          <w:rFonts w:ascii="仿宋" w:hAnsi="仿宋" w:eastAsia="仿宋" w:cs="宋体"/>
          <w:b/>
          <w:bCs/>
          <w:color w:val="auto"/>
          <w:sz w:val="44"/>
          <w:szCs w:val="44"/>
          <w:highlight w:val="none"/>
        </w:rPr>
      </w:pPr>
      <w:r>
        <w:rPr>
          <w:rFonts w:hint="eastAsia" w:ascii="仿宋" w:hAnsi="仿宋" w:eastAsia="仿宋" w:cs="宋体"/>
          <w:b/>
          <w:bCs/>
          <w:color w:val="auto"/>
          <w:sz w:val="44"/>
          <w:szCs w:val="44"/>
          <w:highlight w:val="none"/>
        </w:rPr>
        <w:t>（示范文本）</w:t>
      </w:r>
    </w:p>
    <w:p w14:paraId="03665EA2">
      <w:pPr>
        <w:spacing w:line="360" w:lineRule="auto"/>
        <w:ind w:firstLine="200"/>
        <w:jc w:val="center"/>
        <w:rPr>
          <w:rFonts w:ascii="仿宋" w:hAnsi="仿宋" w:eastAsia="仿宋" w:cs="宋体"/>
          <w:b/>
          <w:bCs/>
          <w:color w:val="auto"/>
          <w:sz w:val="32"/>
          <w:szCs w:val="32"/>
          <w:highlight w:val="none"/>
        </w:rPr>
      </w:pPr>
    </w:p>
    <w:p w14:paraId="53EA2BCF">
      <w:pPr>
        <w:spacing w:line="360" w:lineRule="auto"/>
        <w:ind w:firstLine="200"/>
        <w:jc w:val="center"/>
        <w:rPr>
          <w:rFonts w:ascii="仿宋" w:hAnsi="仿宋" w:eastAsia="仿宋" w:cs="宋体"/>
          <w:b/>
          <w:bCs/>
          <w:color w:val="auto"/>
          <w:sz w:val="32"/>
          <w:szCs w:val="32"/>
          <w:highlight w:val="none"/>
        </w:rPr>
      </w:pPr>
    </w:p>
    <w:p w14:paraId="7DF35D51">
      <w:pPr>
        <w:spacing w:line="360" w:lineRule="auto"/>
        <w:ind w:firstLine="200"/>
        <w:jc w:val="center"/>
        <w:rPr>
          <w:rFonts w:ascii="仿宋" w:hAnsi="仿宋" w:eastAsia="仿宋" w:cs="宋体"/>
          <w:b/>
          <w:bCs/>
          <w:color w:val="auto"/>
          <w:sz w:val="32"/>
          <w:szCs w:val="32"/>
          <w:highlight w:val="none"/>
        </w:rPr>
      </w:pPr>
    </w:p>
    <w:p w14:paraId="2419138B">
      <w:pPr>
        <w:spacing w:line="360" w:lineRule="auto"/>
        <w:ind w:firstLine="200"/>
        <w:jc w:val="center"/>
        <w:rPr>
          <w:rFonts w:ascii="仿宋" w:hAnsi="仿宋" w:eastAsia="仿宋" w:cs="宋体"/>
          <w:b/>
          <w:bCs/>
          <w:color w:val="auto"/>
          <w:sz w:val="32"/>
          <w:szCs w:val="32"/>
          <w:highlight w:val="none"/>
        </w:rPr>
      </w:pPr>
    </w:p>
    <w:p w14:paraId="31EC08C2">
      <w:pPr>
        <w:pStyle w:val="4"/>
        <w:ind w:left="2100" w:hanging="1050"/>
        <w:rPr>
          <w:rFonts w:ascii="仿宋" w:hAnsi="仿宋" w:eastAsia="仿宋"/>
          <w:color w:val="auto"/>
          <w:highlight w:val="none"/>
        </w:rPr>
      </w:pPr>
    </w:p>
    <w:p w14:paraId="271521FF">
      <w:pPr>
        <w:pStyle w:val="4"/>
        <w:ind w:left="2100" w:hanging="1050"/>
        <w:rPr>
          <w:rFonts w:ascii="仿宋" w:hAnsi="仿宋" w:eastAsia="仿宋"/>
          <w:color w:val="auto"/>
          <w:highlight w:val="none"/>
        </w:rPr>
      </w:pPr>
    </w:p>
    <w:p w14:paraId="63A7C3EF">
      <w:pPr>
        <w:pStyle w:val="4"/>
        <w:ind w:left="2100" w:hanging="1050"/>
        <w:rPr>
          <w:rFonts w:ascii="仿宋" w:hAnsi="仿宋" w:eastAsia="仿宋"/>
          <w:color w:val="auto"/>
          <w:highlight w:val="none"/>
        </w:rPr>
      </w:pPr>
    </w:p>
    <w:p w14:paraId="6A412B19">
      <w:pPr>
        <w:pStyle w:val="4"/>
        <w:ind w:left="2100" w:hanging="1050"/>
        <w:rPr>
          <w:rFonts w:ascii="仿宋" w:hAnsi="仿宋" w:eastAsia="仿宋"/>
          <w:color w:val="auto"/>
          <w:highlight w:val="none"/>
        </w:rPr>
      </w:pPr>
    </w:p>
    <w:p w14:paraId="55CA6E71">
      <w:pPr>
        <w:pStyle w:val="4"/>
        <w:ind w:left="2100" w:hanging="1050"/>
        <w:rPr>
          <w:rFonts w:ascii="仿宋" w:hAnsi="仿宋" w:eastAsia="仿宋"/>
          <w:color w:val="auto"/>
          <w:highlight w:val="none"/>
        </w:rPr>
      </w:pPr>
    </w:p>
    <w:p w14:paraId="5FA239F0">
      <w:pPr>
        <w:spacing w:line="360" w:lineRule="auto"/>
        <w:jc w:val="center"/>
        <w:rPr>
          <w:rFonts w:ascii="仿宋" w:hAnsi="仿宋" w:eastAsia="仿宋" w:cs="宋体"/>
          <w:b/>
          <w:bCs/>
          <w:color w:val="auto"/>
          <w:kern w:val="0"/>
          <w:sz w:val="36"/>
          <w:szCs w:val="36"/>
          <w:highlight w:val="none"/>
        </w:rPr>
      </w:pPr>
    </w:p>
    <w:p w14:paraId="7901992B">
      <w:pPr>
        <w:spacing w:line="360" w:lineRule="auto"/>
        <w:jc w:val="center"/>
        <w:rPr>
          <w:rFonts w:ascii="仿宋" w:hAnsi="仿宋" w:eastAsia="仿宋" w:cs="宋体"/>
          <w:b/>
          <w:bCs/>
          <w:color w:val="auto"/>
          <w:sz w:val="32"/>
          <w:szCs w:val="32"/>
          <w:highlight w:val="none"/>
        </w:rPr>
      </w:pPr>
      <w:r>
        <w:rPr>
          <w:rFonts w:ascii="仿宋" w:hAnsi="仿宋" w:eastAsia="仿宋"/>
          <w:b/>
          <w:color w:val="auto"/>
          <w:szCs w:val="20"/>
          <w:highlight w:val="none"/>
        </w:rPr>
        <mc:AlternateContent>
          <mc:Choice Requires="wps">
            <w:drawing>
              <wp:anchor distT="0" distB="0" distL="113665" distR="113665" simplePos="0" relativeHeight="251659264" behindDoc="0" locked="0" layoutInCell="1" allowOverlap="1">
                <wp:simplePos x="0" y="0"/>
                <wp:positionH relativeFrom="column">
                  <wp:posOffset>4343400</wp:posOffset>
                </wp:positionH>
                <wp:positionV relativeFrom="paragraph">
                  <wp:posOffset>152400</wp:posOffset>
                </wp:positionV>
                <wp:extent cx="685800" cy="594360"/>
                <wp:effectExtent l="4445" t="4445" r="14605" b="10795"/>
                <wp:wrapNone/>
                <wp:docPr id="3" name="矩形 4"/>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ln>
                      </wps:spPr>
                      <wps:txbx>
                        <w:txbxContent>
                          <w:p w14:paraId="786C0264">
                            <w:pPr>
                              <w:rPr>
                                <w:rFonts w:asciiTheme="majorEastAsia" w:hAnsiTheme="majorEastAsia" w:eastAsiaTheme="majorEastAsia"/>
                                <w:sz w:val="36"/>
                                <w:szCs w:val="36"/>
                              </w:rPr>
                            </w:pPr>
                            <w:r>
                              <w:rPr>
                                <w:rFonts w:hint="eastAsia" w:asciiTheme="majorEastAsia" w:hAnsiTheme="majorEastAsia" w:eastAsiaTheme="majorEastAsia"/>
                                <w:sz w:val="36"/>
                                <w:szCs w:val="36"/>
                              </w:rPr>
                              <w:t>制</w:t>
                            </w:r>
                          </w:p>
                        </w:txbxContent>
                      </wps:txbx>
                      <wps:bodyPr vert="horz" wrap="square" lIns="91440" tIns="45720" rIns="91440" bIns="45720" anchor="t" anchorCtr="0" upright="1">
                        <a:noAutofit/>
                      </wps:bodyPr>
                    </wps:wsp>
                  </a:graphicData>
                </a:graphic>
              </wp:anchor>
            </w:drawing>
          </mc:Choice>
          <mc:Fallback>
            <w:pict>
              <v:rect id="矩形 4" o:spid="_x0000_s1026" o:spt="1" style="position:absolute;left:0pt;margin-left:342pt;margin-top:12pt;height:46.8pt;width:54pt;z-index:251659264;mso-width-relative:page;mso-height-relative:page;" fillcolor="#FFFFFF" filled="t" stroked="t" coordsize="21600,21600" o:gfxdata="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T0IfE1wAA&#10;AAoBAAAPAAAAAAAAAAEAIAAAACIAAABkcnMvZG93bnJldi54bWxQSwECFAAUAAAACACHTuJA5Ezj&#10;Zx8CAABVBAAADgAAAAAAAAABACAAAAAmAQAAZHJzL2Uyb0RvYy54bWxQSwUGAAAAAAYABgBZAQAA&#10;twUAAAAA&#10;">
                <v:fill on="t" focussize="0,0"/>
                <v:stroke color="#FFFFFF" joinstyle="miter"/>
                <v:imagedata o:title=""/>
                <o:lock v:ext="edit" aspectratio="f"/>
                <v:textbox>
                  <w:txbxContent>
                    <w:p w14:paraId="786C0264">
                      <w:pPr>
                        <w:rPr>
                          <w:rFonts w:asciiTheme="majorEastAsia" w:hAnsiTheme="majorEastAsia" w:eastAsiaTheme="majorEastAsia"/>
                          <w:sz w:val="36"/>
                          <w:szCs w:val="36"/>
                        </w:rPr>
                      </w:pPr>
                      <w:r>
                        <w:rPr>
                          <w:rFonts w:hint="eastAsia" w:asciiTheme="majorEastAsia" w:hAnsiTheme="majorEastAsia" w:eastAsiaTheme="majorEastAsia"/>
                          <w:sz w:val="36"/>
                          <w:szCs w:val="36"/>
                        </w:rPr>
                        <w:t>制</w:t>
                      </w:r>
                    </w:p>
                  </w:txbxContent>
                </v:textbox>
              </v:rect>
            </w:pict>
          </mc:Fallback>
        </mc:AlternateContent>
      </w:r>
      <w:r>
        <w:rPr>
          <w:rFonts w:hint="eastAsia" w:ascii="仿宋" w:hAnsi="仿宋" w:eastAsia="仿宋" w:cs="宋体"/>
          <w:b/>
          <w:bCs/>
          <w:color w:val="auto"/>
          <w:spacing w:val="168"/>
          <w:kern w:val="0"/>
          <w:sz w:val="32"/>
          <w:szCs w:val="32"/>
          <w:highlight w:val="none"/>
        </w:rPr>
        <w:t>陕西省建设</w:t>
      </w:r>
      <w:r>
        <w:rPr>
          <w:rFonts w:hint="eastAsia" w:ascii="仿宋" w:hAnsi="仿宋" w:eastAsia="仿宋" w:cs="宋体"/>
          <w:b/>
          <w:bCs/>
          <w:color w:val="auto"/>
          <w:kern w:val="0"/>
          <w:sz w:val="32"/>
          <w:szCs w:val="32"/>
          <w:highlight w:val="none"/>
        </w:rPr>
        <w:t>厅</w:t>
      </w:r>
    </w:p>
    <w:p w14:paraId="293E7A38">
      <w:pPr>
        <w:spacing w:line="360" w:lineRule="auto"/>
        <w:jc w:val="center"/>
        <w:rPr>
          <w:rFonts w:ascii="仿宋" w:hAnsi="仿宋" w:eastAsia="仿宋" w:cs="宋体"/>
          <w:b/>
          <w:bCs/>
          <w:color w:val="auto"/>
          <w:sz w:val="32"/>
          <w:szCs w:val="32"/>
          <w:highlight w:val="none"/>
        </w:rPr>
      </w:pPr>
      <w:r>
        <w:rPr>
          <w:rFonts w:hint="eastAsia" w:ascii="仿宋" w:hAnsi="仿宋" w:eastAsia="仿宋" w:cs="宋体"/>
          <w:b/>
          <w:bCs/>
          <w:color w:val="auto"/>
          <w:spacing w:val="22"/>
          <w:kern w:val="0"/>
          <w:sz w:val="32"/>
          <w:szCs w:val="32"/>
          <w:highlight w:val="none"/>
        </w:rPr>
        <w:t>陕西省工商行政管理</w:t>
      </w:r>
      <w:r>
        <w:rPr>
          <w:rFonts w:hint="eastAsia" w:ascii="仿宋" w:hAnsi="仿宋" w:eastAsia="仿宋" w:cs="宋体"/>
          <w:b/>
          <w:bCs/>
          <w:color w:val="auto"/>
          <w:spacing w:val="2"/>
          <w:kern w:val="0"/>
          <w:sz w:val="32"/>
          <w:szCs w:val="32"/>
          <w:highlight w:val="none"/>
        </w:rPr>
        <w:t>局</w:t>
      </w:r>
    </w:p>
    <w:p w14:paraId="2458BD7A">
      <w:pPr>
        <w:spacing w:line="360" w:lineRule="auto"/>
        <w:jc w:val="center"/>
        <w:rPr>
          <w:rFonts w:ascii="仿宋" w:hAnsi="仿宋" w:eastAsia="仿宋"/>
          <w:color w:val="auto"/>
          <w:sz w:val="28"/>
          <w:szCs w:val="20"/>
          <w:highlight w:val="none"/>
        </w:rPr>
      </w:pPr>
      <w:r>
        <w:rPr>
          <w:rFonts w:hint="eastAsia" w:ascii="仿宋" w:hAnsi="仿宋" w:eastAsia="仿宋"/>
          <w:b/>
          <w:color w:val="auto"/>
          <w:sz w:val="30"/>
          <w:szCs w:val="30"/>
          <w:highlight w:val="none"/>
        </w:rPr>
        <w:t>二○   年   月   日</w:t>
      </w:r>
      <w:r>
        <w:rPr>
          <w:rFonts w:hint="eastAsia" w:ascii="仿宋" w:hAnsi="仿宋" w:eastAsia="仿宋"/>
          <w:b/>
          <w:color w:val="auto"/>
          <w:sz w:val="36"/>
          <w:szCs w:val="36"/>
          <w:highlight w:val="none"/>
        </w:rPr>
        <w:br w:type="page"/>
      </w:r>
      <w:r>
        <w:rPr>
          <w:rFonts w:hint="eastAsia" w:ascii="仿宋" w:hAnsi="仿宋" w:eastAsia="仿宋"/>
          <w:b/>
          <w:color w:val="auto"/>
          <w:sz w:val="28"/>
          <w:highlight w:val="none"/>
        </w:rPr>
        <w:t>合同协议书</w:t>
      </w:r>
    </w:p>
    <w:p w14:paraId="7526848A">
      <w:pPr>
        <w:spacing w:line="360" w:lineRule="auto"/>
        <w:ind w:firstLine="360" w:firstLineChars="200"/>
        <w:rPr>
          <w:rFonts w:ascii="仿宋" w:hAnsi="仿宋" w:eastAsia="仿宋" w:cs="宋体"/>
          <w:color w:val="auto"/>
          <w:sz w:val="18"/>
          <w:szCs w:val="18"/>
          <w:highlight w:val="none"/>
        </w:rPr>
      </w:pPr>
    </w:p>
    <w:p w14:paraId="44BE6086">
      <w:pPr>
        <w:adjustRightInd w:val="0"/>
        <w:snapToGrid w:val="0"/>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发包人（全称）：</w:t>
      </w:r>
      <w:r>
        <w:rPr>
          <w:rFonts w:hint="eastAsia" w:ascii="仿宋" w:hAnsi="仿宋" w:eastAsia="仿宋" w:cs="宋体"/>
          <w:color w:val="auto"/>
          <w:szCs w:val="21"/>
          <w:highlight w:val="none"/>
          <w:u w:val="single"/>
        </w:rPr>
        <w:t xml:space="preserve">                           </w:t>
      </w:r>
    </w:p>
    <w:p w14:paraId="154B465A">
      <w:pPr>
        <w:adjustRightInd w:val="0"/>
        <w:snapToGrid w:val="0"/>
        <w:spacing w:line="360" w:lineRule="auto"/>
        <w:ind w:firstLine="420" w:firstLineChars="200"/>
        <w:rPr>
          <w:rFonts w:ascii="仿宋" w:hAnsi="仿宋" w:eastAsia="仿宋" w:cs="宋体"/>
          <w:color w:val="auto"/>
          <w:szCs w:val="21"/>
          <w:highlight w:val="none"/>
          <w:u w:val="single"/>
        </w:rPr>
      </w:pPr>
      <w:r>
        <w:rPr>
          <w:rFonts w:hint="eastAsia" w:ascii="仿宋" w:hAnsi="仿宋" w:eastAsia="仿宋" w:cs="宋体"/>
          <w:color w:val="auto"/>
          <w:szCs w:val="21"/>
          <w:highlight w:val="none"/>
        </w:rPr>
        <w:t>承包人（全称）：</w:t>
      </w:r>
      <w:r>
        <w:rPr>
          <w:rFonts w:hint="eastAsia" w:ascii="仿宋" w:hAnsi="仿宋" w:eastAsia="仿宋" w:cs="宋体"/>
          <w:color w:val="auto"/>
          <w:szCs w:val="21"/>
          <w:highlight w:val="none"/>
          <w:u w:val="single"/>
        </w:rPr>
        <w:t xml:space="preserve">                           </w:t>
      </w:r>
    </w:p>
    <w:p w14:paraId="69403EFB">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依照《中华人民共和国民法典》、《中华人民共和国建筑法》及其他有关法律、行政法规，遵循平等、自愿、公平和诚实信用的原则，各方就本建设工程施工协商一致，订立本合同。</w:t>
      </w:r>
    </w:p>
    <w:p w14:paraId="2E0D530A">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一、工程概况</w:t>
      </w:r>
    </w:p>
    <w:p w14:paraId="3FA773AE">
      <w:pPr>
        <w:adjustRightInd w:val="0"/>
        <w:snapToGrid w:val="0"/>
        <w:spacing w:line="360" w:lineRule="auto"/>
        <w:ind w:firstLine="420" w:firstLineChars="200"/>
        <w:rPr>
          <w:rFonts w:ascii="仿宋" w:hAnsi="仿宋" w:eastAsia="仿宋" w:cs="宋体"/>
          <w:color w:val="auto"/>
          <w:szCs w:val="21"/>
          <w:highlight w:val="none"/>
          <w:u w:val="single"/>
        </w:rPr>
      </w:pPr>
      <w:r>
        <w:rPr>
          <w:rFonts w:hint="eastAsia" w:ascii="仿宋" w:hAnsi="仿宋" w:eastAsia="仿宋" w:cs="宋体"/>
          <w:color w:val="auto"/>
          <w:szCs w:val="21"/>
          <w:highlight w:val="none"/>
        </w:rPr>
        <w:t>工程名称：</w:t>
      </w:r>
      <w:r>
        <w:rPr>
          <w:rFonts w:hint="eastAsia" w:ascii="仿宋" w:hAnsi="仿宋" w:eastAsia="仿宋"/>
          <w:color w:val="auto"/>
          <w:szCs w:val="21"/>
          <w:highlight w:val="none"/>
          <w:u w:val="single"/>
        </w:rPr>
        <w:t xml:space="preserve">                      </w:t>
      </w:r>
      <w:r>
        <w:rPr>
          <w:rFonts w:hint="eastAsia" w:ascii="仿宋" w:hAnsi="仿宋" w:eastAsia="仿宋" w:cs="宋体"/>
          <w:color w:val="auto"/>
          <w:szCs w:val="21"/>
          <w:highlight w:val="none"/>
        </w:rPr>
        <w:t>工程地点：</w:t>
      </w:r>
      <w:r>
        <w:rPr>
          <w:rFonts w:hint="eastAsia" w:ascii="仿宋" w:hAnsi="仿宋" w:eastAsia="仿宋"/>
          <w:color w:val="auto"/>
          <w:szCs w:val="21"/>
          <w:highlight w:val="none"/>
          <w:u w:val="single"/>
        </w:rPr>
        <w:t xml:space="preserve">                 </w:t>
      </w:r>
    </w:p>
    <w:p w14:paraId="17F10F42">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结构形式：</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 xml:space="preserve"> 层数：</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 xml:space="preserve"> 建筑面积：</w:t>
      </w:r>
      <w:r>
        <w:rPr>
          <w:rFonts w:hint="eastAsia" w:ascii="仿宋" w:hAnsi="仿宋" w:eastAsia="仿宋" w:cs="宋体"/>
          <w:color w:val="auto"/>
          <w:szCs w:val="21"/>
          <w:highlight w:val="none"/>
          <w:u w:val="single"/>
        </w:rPr>
        <w:t xml:space="preserve">         </w:t>
      </w:r>
    </w:p>
    <w:p w14:paraId="1BC598BB">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群体工程应附承包人承揽工程项目一览表（附件1）</w:t>
      </w:r>
    </w:p>
    <w:p w14:paraId="6422B655">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工程立项文号：</w:t>
      </w:r>
      <w:r>
        <w:rPr>
          <w:rFonts w:hint="eastAsia" w:ascii="仿宋" w:hAnsi="仿宋" w:eastAsia="仿宋" w:cs="宋体"/>
          <w:color w:val="auto"/>
          <w:szCs w:val="21"/>
          <w:highlight w:val="none"/>
          <w:u w:val="single"/>
        </w:rPr>
        <w:t xml:space="preserve">                                           </w:t>
      </w:r>
    </w:p>
    <w:p w14:paraId="6CA2C697">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资金来源：</w:t>
      </w:r>
      <w:r>
        <w:rPr>
          <w:rFonts w:hint="eastAsia" w:ascii="仿宋" w:hAnsi="仿宋" w:eastAsia="仿宋" w:cs="宋体"/>
          <w:color w:val="auto"/>
          <w:szCs w:val="21"/>
          <w:highlight w:val="none"/>
          <w:u w:val="single"/>
        </w:rPr>
        <w:t xml:space="preserve">                                               </w:t>
      </w:r>
    </w:p>
    <w:p w14:paraId="15E254DA">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二、工程承包范围</w:t>
      </w:r>
    </w:p>
    <w:p w14:paraId="5675E040">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 xml:space="preserve">承包范围     </w:t>
      </w:r>
      <w:r>
        <w:rPr>
          <w:rFonts w:hint="eastAsia" w:ascii="仿宋" w:hAnsi="仿宋" w:eastAsia="仿宋" w:cs="仿宋_GB2312"/>
          <w:color w:val="auto"/>
          <w:kern w:val="0"/>
          <w:szCs w:val="21"/>
          <w:highlight w:val="none"/>
          <w:u w:val="single"/>
        </w:rPr>
        <w:t>（具体招标范围和工程量以</w:t>
      </w:r>
      <w:r>
        <w:rPr>
          <w:rFonts w:hint="eastAsia" w:ascii="仿宋" w:hAnsi="仿宋" w:eastAsia="仿宋" w:cs="黑体"/>
          <w:color w:val="auto"/>
          <w:kern w:val="0"/>
          <w:szCs w:val="21"/>
          <w:highlight w:val="none"/>
          <w:u w:val="single"/>
        </w:rPr>
        <w:t>第五章“工程量清单”描述为准）</w:t>
      </w:r>
      <w:r>
        <w:rPr>
          <w:rFonts w:hint="eastAsia" w:ascii="仿宋" w:hAnsi="仿宋" w:eastAsia="仿宋" w:cs="仿宋_GB2312"/>
          <w:color w:val="auto"/>
          <w:kern w:val="0"/>
          <w:szCs w:val="21"/>
          <w:highlight w:val="none"/>
        </w:rPr>
        <w:t>。</w:t>
      </w:r>
    </w:p>
    <w:p w14:paraId="1A9D7F16">
      <w:pPr>
        <w:adjustRightInd w:val="0"/>
        <w:snapToGrid w:val="0"/>
        <w:spacing w:line="360" w:lineRule="auto"/>
        <w:ind w:firstLine="422" w:firstLineChars="200"/>
        <w:rPr>
          <w:rFonts w:ascii="仿宋" w:hAnsi="仿宋" w:eastAsia="仿宋" w:cs="宋体"/>
          <w:color w:val="auto"/>
          <w:kern w:val="0"/>
          <w:szCs w:val="21"/>
          <w:highlight w:val="none"/>
        </w:rPr>
      </w:pPr>
      <w:r>
        <w:rPr>
          <w:rFonts w:hint="eastAsia" w:ascii="仿宋" w:hAnsi="仿宋" w:eastAsia="仿宋" w:cs="宋体"/>
          <w:b/>
          <w:color w:val="auto"/>
          <w:szCs w:val="21"/>
          <w:highlight w:val="none"/>
        </w:rPr>
        <w:t>承包方式：</w:t>
      </w:r>
      <w:r>
        <w:rPr>
          <w:rFonts w:hint="eastAsia" w:ascii="仿宋" w:hAnsi="仿宋" w:eastAsia="仿宋" w:cs="宋体"/>
          <w:b/>
          <w:color w:val="auto"/>
          <w:kern w:val="0"/>
          <w:szCs w:val="21"/>
          <w:highlight w:val="none"/>
          <w:u w:val="single"/>
        </w:rPr>
        <w:t>固定综合单价</w:t>
      </w:r>
      <w:r>
        <w:rPr>
          <w:rFonts w:ascii="仿宋" w:hAnsi="仿宋" w:eastAsia="仿宋" w:cs="宋体"/>
          <w:b/>
          <w:color w:val="auto"/>
          <w:kern w:val="0"/>
          <w:szCs w:val="21"/>
          <w:highlight w:val="none"/>
          <w:u w:val="single"/>
        </w:rPr>
        <w:t>。</w:t>
      </w:r>
      <w:r>
        <w:rPr>
          <w:rFonts w:hint="eastAsia" w:ascii="仿宋" w:hAnsi="仿宋" w:eastAsia="仿宋" w:cs="宋体"/>
          <w:b/>
          <w:color w:val="auto"/>
          <w:kern w:val="0"/>
          <w:szCs w:val="21"/>
          <w:highlight w:val="none"/>
          <w:u w:val="single"/>
        </w:rPr>
        <w:t>包工包料，包质量、包工期、包安全、包文明施工</w:t>
      </w:r>
      <w:r>
        <w:rPr>
          <w:rFonts w:hint="eastAsia" w:ascii="仿宋" w:hAnsi="仿宋" w:eastAsia="仿宋" w:cs="宋体"/>
          <w:color w:val="auto"/>
          <w:kern w:val="0"/>
          <w:szCs w:val="21"/>
          <w:highlight w:val="none"/>
        </w:rPr>
        <w:t>。</w:t>
      </w:r>
    </w:p>
    <w:p w14:paraId="6BDC30A9">
      <w:pPr>
        <w:adjustRightInd w:val="0"/>
        <w:snapToGrid w:val="0"/>
        <w:spacing w:line="360" w:lineRule="auto"/>
        <w:ind w:firstLine="422" w:firstLineChars="200"/>
        <w:rPr>
          <w:rFonts w:hint="default" w:ascii="仿宋" w:hAnsi="仿宋" w:eastAsia="仿宋" w:cs="宋体"/>
          <w:b/>
          <w:bCs/>
          <w:color w:val="auto"/>
          <w:szCs w:val="21"/>
          <w:highlight w:val="none"/>
          <w:lang w:val="en-US" w:eastAsia="zh-CN"/>
        </w:rPr>
      </w:pPr>
      <w:r>
        <w:rPr>
          <w:rFonts w:hint="eastAsia" w:ascii="仿宋" w:hAnsi="仿宋" w:eastAsia="仿宋" w:cs="宋体"/>
          <w:b/>
          <w:bCs/>
          <w:color w:val="auto"/>
          <w:szCs w:val="21"/>
          <w:highlight w:val="none"/>
        </w:rPr>
        <w:t>三、合同工期：</w:t>
      </w:r>
      <w:r>
        <w:rPr>
          <w:rFonts w:hint="eastAsia" w:ascii="仿宋" w:hAnsi="仿宋" w:eastAsia="仿宋" w:cs="宋体"/>
          <w:b/>
          <w:bCs/>
          <w:color w:val="auto"/>
          <w:szCs w:val="21"/>
          <w:highlight w:val="none"/>
          <w:lang w:val="en-US" w:eastAsia="zh-CN"/>
        </w:rPr>
        <w:t xml:space="preserve">合同签订后3个月  </w:t>
      </w:r>
    </w:p>
    <w:p w14:paraId="2BDF856C">
      <w:pPr>
        <w:adjustRightInd w:val="0"/>
        <w:snapToGrid w:val="0"/>
        <w:spacing w:line="360" w:lineRule="auto"/>
        <w:ind w:firstLine="422" w:firstLineChars="200"/>
        <w:rPr>
          <w:rFonts w:ascii="仿宋" w:hAnsi="仿宋" w:eastAsia="仿宋" w:cs="宋体"/>
          <w:b/>
          <w:color w:val="auto"/>
          <w:szCs w:val="21"/>
          <w:highlight w:val="none"/>
          <w:u w:val="single"/>
        </w:rPr>
      </w:pPr>
      <w:r>
        <w:rPr>
          <w:rFonts w:hint="eastAsia" w:ascii="仿宋" w:hAnsi="仿宋" w:eastAsia="仿宋" w:cs="宋体"/>
          <w:b/>
          <w:color w:val="auto"/>
          <w:szCs w:val="21"/>
          <w:highlight w:val="none"/>
        </w:rPr>
        <w:t>总日历天数：</w:t>
      </w:r>
      <w:r>
        <w:rPr>
          <w:rFonts w:hint="eastAsia" w:ascii="仿宋" w:hAnsi="仿宋" w:eastAsia="仿宋" w:cs="宋体"/>
          <w:b/>
          <w:color w:val="auto"/>
          <w:szCs w:val="21"/>
          <w:highlight w:val="none"/>
          <w:u w:val="single"/>
        </w:rPr>
        <w:t xml:space="preserve">   </w:t>
      </w:r>
      <w:r>
        <w:rPr>
          <w:rFonts w:hint="eastAsia" w:ascii="仿宋" w:hAnsi="仿宋" w:eastAsia="仿宋" w:cs="宋体"/>
          <w:b/>
          <w:color w:val="auto"/>
          <w:szCs w:val="21"/>
          <w:highlight w:val="none"/>
        </w:rPr>
        <w:t>天；计划开工日期：</w:t>
      </w:r>
      <w:r>
        <w:rPr>
          <w:rFonts w:hint="eastAsia" w:ascii="仿宋" w:hAnsi="仿宋" w:eastAsia="仿宋" w:cs="宋体"/>
          <w:b/>
          <w:color w:val="auto"/>
          <w:szCs w:val="21"/>
          <w:highlight w:val="none"/>
          <w:u w:val="single"/>
        </w:rPr>
        <w:t xml:space="preserve">  年  月   日 </w:t>
      </w:r>
      <w:r>
        <w:rPr>
          <w:rFonts w:hint="eastAsia" w:ascii="仿宋" w:hAnsi="仿宋" w:eastAsia="仿宋" w:cs="宋体"/>
          <w:b/>
          <w:color w:val="auto"/>
          <w:szCs w:val="21"/>
          <w:highlight w:val="none"/>
        </w:rPr>
        <w:t>；计划竣工日期：</w:t>
      </w:r>
      <w:r>
        <w:rPr>
          <w:rFonts w:hint="eastAsia" w:ascii="仿宋" w:hAnsi="仿宋" w:eastAsia="仿宋" w:cs="宋体"/>
          <w:b/>
          <w:color w:val="auto"/>
          <w:szCs w:val="21"/>
          <w:highlight w:val="none"/>
          <w:u w:val="single"/>
        </w:rPr>
        <w:t xml:space="preserve">     年  月  日</w:t>
      </w:r>
    </w:p>
    <w:p w14:paraId="5BA2F593">
      <w:pPr>
        <w:adjustRightInd w:val="0"/>
        <w:snapToGrid w:val="0"/>
        <w:spacing w:line="360" w:lineRule="auto"/>
        <w:ind w:firstLine="420" w:firstLineChars="200"/>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（实际开、竣工时间以发包人和监理单位最终审批的开、竣工报告时间为准）</w:t>
      </w:r>
    </w:p>
    <w:p w14:paraId="2507F822">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四、质量标准</w:t>
      </w:r>
    </w:p>
    <w:p w14:paraId="5A9CCF78">
      <w:pPr>
        <w:adjustRightInd w:val="0"/>
        <w:snapToGrid w:val="0"/>
        <w:spacing w:line="360" w:lineRule="auto"/>
        <w:ind w:firstLine="422" w:firstLineChars="200"/>
        <w:rPr>
          <w:rFonts w:ascii="仿宋" w:hAnsi="仿宋" w:eastAsia="仿宋" w:cs="宋体"/>
          <w:color w:val="auto"/>
          <w:szCs w:val="21"/>
          <w:highlight w:val="none"/>
        </w:rPr>
      </w:pPr>
      <w:r>
        <w:rPr>
          <w:rFonts w:hint="eastAsia" w:ascii="仿宋" w:hAnsi="仿宋" w:eastAsia="仿宋"/>
          <w:b/>
          <w:bCs/>
          <w:color w:val="auto"/>
          <w:szCs w:val="21"/>
          <w:highlight w:val="none"/>
        </w:rPr>
        <w:t>本工程质量等级：</w:t>
      </w:r>
      <w:r>
        <w:rPr>
          <w:rFonts w:hint="eastAsia" w:ascii="仿宋" w:hAnsi="仿宋" w:eastAsia="仿宋"/>
          <w:b/>
          <w:color w:val="auto"/>
          <w:szCs w:val="21"/>
          <w:highlight w:val="none"/>
        </w:rPr>
        <w:t>合格。</w:t>
      </w:r>
      <w:r>
        <w:rPr>
          <w:rFonts w:hint="eastAsia" w:ascii="仿宋" w:hAnsi="仿宋" w:eastAsia="仿宋"/>
          <w:bCs/>
          <w:color w:val="auto"/>
          <w:szCs w:val="21"/>
          <w:highlight w:val="none"/>
        </w:rPr>
        <w:t>承包人严格按照国家颁发的施工验收规范及工程设计图纸要求进行施工，工程质量应达到国家或专业质量检验评定标准的合格条件。</w:t>
      </w:r>
      <w:r>
        <w:rPr>
          <w:rFonts w:hint="eastAsia" w:ascii="仿宋" w:hAnsi="仿宋" w:eastAsia="仿宋"/>
          <w:color w:val="auto"/>
          <w:szCs w:val="21"/>
          <w:highlight w:val="none"/>
        </w:rPr>
        <w:t>若达不到合格，除按要求整改至合格外（整改费用</w:t>
      </w:r>
      <w:r>
        <w:rPr>
          <w:rFonts w:hint="eastAsia" w:ascii="仿宋" w:hAnsi="仿宋" w:eastAsia="仿宋"/>
          <w:bCs/>
          <w:color w:val="auto"/>
          <w:szCs w:val="21"/>
          <w:highlight w:val="none"/>
        </w:rPr>
        <w:t>承包人</w:t>
      </w:r>
      <w:r>
        <w:rPr>
          <w:rFonts w:hint="eastAsia" w:ascii="仿宋" w:hAnsi="仿宋" w:eastAsia="仿宋"/>
          <w:color w:val="auto"/>
          <w:szCs w:val="21"/>
          <w:highlight w:val="none"/>
        </w:rPr>
        <w:t>自行承担），</w:t>
      </w:r>
      <w:r>
        <w:rPr>
          <w:rFonts w:hint="eastAsia" w:ascii="仿宋" w:hAnsi="仿宋" w:eastAsia="仿宋"/>
          <w:bCs/>
          <w:color w:val="auto"/>
          <w:szCs w:val="21"/>
          <w:highlight w:val="none"/>
        </w:rPr>
        <w:t>承包人</w:t>
      </w:r>
      <w:r>
        <w:rPr>
          <w:rFonts w:hint="eastAsia" w:ascii="仿宋" w:hAnsi="仿宋" w:eastAsia="仿宋"/>
          <w:color w:val="auto"/>
          <w:szCs w:val="21"/>
          <w:highlight w:val="none"/>
        </w:rPr>
        <w:t>还应接受合同价5%的罚款。</w:t>
      </w:r>
    </w:p>
    <w:p w14:paraId="12F0A685">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五、合同价款</w:t>
      </w:r>
    </w:p>
    <w:p w14:paraId="56A40555">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1、合同</w:t>
      </w:r>
      <w:r>
        <w:rPr>
          <w:rFonts w:hint="eastAsia" w:ascii="仿宋" w:hAnsi="仿宋" w:eastAsia="仿宋" w:cs="宋体"/>
          <w:color w:val="auto"/>
          <w:szCs w:val="21"/>
          <w:highlight w:val="none"/>
          <w:lang w:val="en-US" w:eastAsia="zh-CN"/>
        </w:rPr>
        <w:t>暂估</w:t>
      </w:r>
      <w:r>
        <w:rPr>
          <w:rFonts w:hint="eastAsia" w:ascii="仿宋" w:hAnsi="仿宋" w:eastAsia="仿宋" w:cs="宋体"/>
          <w:color w:val="auto"/>
          <w:szCs w:val="21"/>
          <w:highlight w:val="none"/>
        </w:rPr>
        <w:t>总价（大写）：</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（人民币）元（小写）￥：</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元。</w:t>
      </w:r>
    </w:p>
    <w:p w14:paraId="775041C4">
      <w:pPr>
        <w:numPr>
          <w:ilvl w:val="0"/>
          <w:numId w:val="1"/>
        </w:num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综合单价：详见承包人的报价书。</w:t>
      </w:r>
    </w:p>
    <w:p w14:paraId="4BE6AD55">
      <w:pPr>
        <w:numPr>
          <w:ilvl w:val="0"/>
          <w:numId w:val="1"/>
        </w:num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最终结算价以</w:t>
      </w:r>
      <w:r>
        <w:rPr>
          <w:rFonts w:hint="eastAsia" w:ascii="仿宋" w:hAnsi="仿宋" w:eastAsia="仿宋" w:cs="宋体"/>
          <w:color w:val="auto"/>
          <w:szCs w:val="21"/>
          <w:highlight w:val="none"/>
          <w:lang w:val="en-US" w:eastAsia="zh-CN"/>
        </w:rPr>
        <w:t>财政</w:t>
      </w:r>
      <w:r>
        <w:rPr>
          <w:rFonts w:hint="eastAsia" w:ascii="仿宋" w:hAnsi="仿宋" w:eastAsia="仿宋" w:cs="宋体"/>
          <w:color w:val="auto"/>
          <w:szCs w:val="21"/>
          <w:highlight w:val="none"/>
        </w:rPr>
        <w:t>审计为准。</w:t>
      </w:r>
    </w:p>
    <w:p w14:paraId="1FBB987B">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六、承包人项目经理：</w:t>
      </w:r>
    </w:p>
    <w:p w14:paraId="24E1A5EE">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姓名：</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  职称：</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；身份证号：</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；执业资格证书号：</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；注册证书号：</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；执业印章号：</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w:t>
      </w:r>
    </w:p>
    <w:p w14:paraId="44F31977">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七、组成合同的文件</w:t>
      </w:r>
    </w:p>
    <w:p w14:paraId="2C608D5C">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组成本合同的文件包括：</w:t>
      </w:r>
    </w:p>
    <w:p w14:paraId="606CE977">
      <w:pPr>
        <w:widowControl/>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① 本合同协议书及附件(含合同磋商中澄清文件)；</w:t>
      </w:r>
    </w:p>
    <w:p w14:paraId="70A30257">
      <w:pPr>
        <w:widowControl/>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② 合同专用条款(含数据表和答疑纪要中与此有关的部分)；</w:t>
      </w:r>
    </w:p>
    <w:p w14:paraId="0E7D12B9">
      <w:pPr>
        <w:widowControl/>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③ 本合同通用条款；</w:t>
      </w:r>
    </w:p>
    <w:p w14:paraId="23D70ACD">
      <w:pPr>
        <w:widowControl/>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④ 中标通知书；</w:t>
      </w:r>
    </w:p>
    <w:p w14:paraId="444A463B">
      <w:pPr>
        <w:widowControl/>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⑤ 磋商文件(含答疑纪要、工程量清单与此有关的部分)；</w:t>
      </w:r>
    </w:p>
    <w:p w14:paraId="184769E8">
      <w:pPr>
        <w:widowControl/>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⑥ 磋商书及磋商书附录(含承包人在评标期间递交和确认并经发包人同意的对有关问题的补充资料和澄清文件等)；</w:t>
      </w:r>
    </w:p>
    <w:p w14:paraId="514CD6E3">
      <w:pPr>
        <w:widowControl/>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⑦ 图纸；</w:t>
      </w:r>
    </w:p>
    <w:p w14:paraId="35C13C04">
      <w:pPr>
        <w:widowControl/>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⑧ 标准、规范及有关技术文件；</w:t>
      </w:r>
    </w:p>
    <w:p w14:paraId="4D4E40E0">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olor w:val="auto"/>
          <w:kern w:val="0"/>
          <w:szCs w:val="21"/>
          <w:highlight w:val="none"/>
        </w:rPr>
        <w:t>⑨ 合同履行中，发包人承包人有关工程的洽商、变更等书面协议或文件视为本合同的组成部分，与本合同具有同等法律效力。</w:t>
      </w:r>
    </w:p>
    <w:p w14:paraId="4294AFED">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八、本协议书中有关词语含义与本合同第二部分《通用条款》中赋予的定义相同。</w:t>
      </w:r>
    </w:p>
    <w:p w14:paraId="73C34EE9">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九、承包人按照合同约定进行施工、竣工并在质量保修期内承担工程质量保修责任。</w:t>
      </w:r>
    </w:p>
    <w:p w14:paraId="6EFA1D3F">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十、发包人按照合同约定的期限和方式支付合同价款及其他应当支付的款项。</w:t>
      </w:r>
    </w:p>
    <w:p w14:paraId="25B8564D">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十一、合同生效</w:t>
      </w:r>
    </w:p>
    <w:p w14:paraId="78294D8F">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合同订立时间：</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年</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月</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日</w:t>
      </w:r>
    </w:p>
    <w:p w14:paraId="2E4C2346">
      <w:pPr>
        <w:adjustRightInd w:val="0"/>
        <w:snapToGrid w:val="0"/>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合同订立地点：</w:t>
      </w:r>
      <w:r>
        <w:rPr>
          <w:rFonts w:hint="eastAsia" w:ascii="仿宋" w:hAnsi="仿宋" w:eastAsia="仿宋" w:cs="宋体"/>
          <w:color w:val="auto"/>
          <w:szCs w:val="21"/>
          <w:highlight w:val="none"/>
          <w:u w:val="single"/>
        </w:rPr>
        <w:t xml:space="preserve">                        </w:t>
      </w:r>
    </w:p>
    <w:p w14:paraId="39EB330E">
      <w:pPr>
        <w:adjustRightInd w:val="0"/>
        <w:snapToGrid w:val="0"/>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本合同各方约定</w:t>
      </w:r>
      <w:r>
        <w:rPr>
          <w:rFonts w:hint="eastAsia" w:ascii="仿宋" w:hAnsi="仿宋" w:eastAsia="仿宋" w:cs="宋体"/>
          <w:color w:val="auto"/>
          <w:szCs w:val="21"/>
          <w:highlight w:val="none"/>
          <w:u w:val="single"/>
        </w:rPr>
        <w:t xml:space="preserve">                        </w:t>
      </w:r>
      <w:r>
        <w:rPr>
          <w:rFonts w:hint="eastAsia" w:ascii="仿宋" w:hAnsi="仿宋" w:eastAsia="仿宋" w:cs="宋体"/>
          <w:color w:val="auto"/>
          <w:szCs w:val="21"/>
          <w:highlight w:val="none"/>
        </w:rPr>
        <w:t>后生效。</w:t>
      </w:r>
    </w:p>
    <w:p w14:paraId="0190B9BA">
      <w:pPr>
        <w:tabs>
          <w:tab w:val="left" w:pos="6660"/>
        </w:tabs>
        <w:spacing w:line="360" w:lineRule="auto"/>
        <w:ind w:firstLine="420" w:firstLineChars="200"/>
        <w:rPr>
          <w:rFonts w:ascii="仿宋" w:hAnsi="仿宋" w:eastAsia="仿宋" w:cs="宋体"/>
          <w:color w:val="auto"/>
          <w:szCs w:val="21"/>
          <w:highlight w:val="none"/>
        </w:rPr>
      </w:pPr>
    </w:p>
    <w:p w14:paraId="648E4505">
      <w:pPr>
        <w:tabs>
          <w:tab w:val="left" w:pos="5220"/>
        </w:tabs>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发  包  人：（公章）</w:t>
      </w: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承  包  人：（公章）</w:t>
      </w:r>
      <w:r>
        <w:rPr>
          <w:rFonts w:hint="eastAsia" w:ascii="仿宋" w:hAnsi="仿宋" w:eastAsia="仿宋" w:cs="宋体"/>
          <w:color w:val="auto"/>
          <w:szCs w:val="21"/>
          <w:highlight w:val="none"/>
          <w:u w:val="single"/>
        </w:rPr>
        <w:t xml:space="preserve">         </w:t>
      </w:r>
      <w:r>
        <w:rPr>
          <w:rFonts w:hint="eastAsia" w:ascii="仿宋" w:hAnsi="仿宋" w:eastAsia="仿宋"/>
          <w:color w:val="auto"/>
          <w:szCs w:val="21"/>
          <w:highlight w:val="none"/>
        </w:rPr>
        <w:t xml:space="preserve">        </w:t>
      </w:r>
    </w:p>
    <w:p w14:paraId="192D4CEA">
      <w:pPr>
        <w:tabs>
          <w:tab w:val="left" w:pos="5040"/>
          <w:tab w:val="left" w:pos="6300"/>
          <w:tab w:val="left" w:pos="9180"/>
        </w:tabs>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地      址：</w:t>
      </w: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地      址：</w:t>
      </w:r>
      <w:r>
        <w:rPr>
          <w:rFonts w:ascii="仿宋" w:hAnsi="仿宋" w:eastAsia="仿宋" w:cs="宋体"/>
          <w:color w:val="auto"/>
          <w:szCs w:val="21"/>
          <w:highlight w:val="none"/>
        </w:rPr>
        <w:t xml:space="preserve">              </w:t>
      </w:r>
      <w:r>
        <w:rPr>
          <w:rFonts w:hint="eastAsia" w:ascii="仿宋" w:hAnsi="仿宋" w:eastAsia="仿宋" w:cs="宋体"/>
          <w:color w:val="auto"/>
          <w:szCs w:val="21"/>
          <w:highlight w:val="none"/>
          <w:u w:val="single"/>
        </w:rPr>
        <w:t xml:space="preserve">                </w:t>
      </w:r>
    </w:p>
    <w:p w14:paraId="2612868F">
      <w:pPr>
        <w:tabs>
          <w:tab w:val="left" w:pos="5040"/>
        </w:tabs>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邮 政 编码：</w:t>
      </w: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邮 政 编码：</w:t>
      </w:r>
      <w:r>
        <w:rPr>
          <w:rFonts w:hint="eastAsia" w:ascii="仿宋" w:hAnsi="仿宋" w:eastAsia="仿宋" w:cs="宋体"/>
          <w:color w:val="auto"/>
          <w:szCs w:val="21"/>
          <w:highlight w:val="none"/>
          <w:u w:val="single"/>
        </w:rPr>
        <w:t xml:space="preserve">               </w:t>
      </w:r>
    </w:p>
    <w:p w14:paraId="03CA82E0">
      <w:pPr>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法定代表人：</w:t>
      </w: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法定代表人：</w:t>
      </w:r>
      <w:r>
        <w:rPr>
          <w:rFonts w:hint="eastAsia" w:ascii="仿宋" w:hAnsi="仿宋" w:eastAsia="仿宋" w:cs="宋体"/>
          <w:color w:val="auto"/>
          <w:szCs w:val="21"/>
          <w:highlight w:val="none"/>
          <w:u w:val="single"/>
        </w:rPr>
        <w:t xml:space="preserve">               </w:t>
      </w:r>
    </w:p>
    <w:p w14:paraId="5BA43C7F">
      <w:pPr>
        <w:tabs>
          <w:tab w:val="left" w:pos="6300"/>
        </w:tabs>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委托代理人：</w:t>
      </w: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委托代理人：</w:t>
      </w:r>
      <w:r>
        <w:rPr>
          <w:rFonts w:hint="eastAsia" w:ascii="仿宋" w:hAnsi="仿宋" w:eastAsia="仿宋" w:cs="宋体"/>
          <w:color w:val="auto"/>
          <w:szCs w:val="21"/>
          <w:highlight w:val="none"/>
          <w:u w:val="single"/>
        </w:rPr>
        <w:t xml:space="preserve">               </w:t>
      </w:r>
    </w:p>
    <w:p w14:paraId="753F8D60">
      <w:pPr>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电      话：</w:t>
      </w:r>
      <w:r>
        <w:rPr>
          <w:rFonts w:hint="eastAsia" w:ascii="仿宋" w:hAnsi="仿宋" w:eastAsia="仿宋"/>
          <w:color w:val="auto"/>
          <w:szCs w:val="21"/>
          <w:highlight w:val="none"/>
        </w:rPr>
        <w:t xml:space="preserve">                                  电      </w:t>
      </w:r>
      <w:r>
        <w:rPr>
          <w:rFonts w:hint="eastAsia" w:ascii="仿宋" w:hAnsi="仿宋" w:eastAsia="仿宋" w:cs="宋体"/>
          <w:color w:val="auto"/>
          <w:szCs w:val="21"/>
          <w:highlight w:val="none"/>
        </w:rPr>
        <w:t>话：</w:t>
      </w:r>
      <w:r>
        <w:rPr>
          <w:rFonts w:hint="eastAsia" w:ascii="仿宋" w:hAnsi="仿宋" w:eastAsia="仿宋" w:cs="宋体"/>
          <w:color w:val="auto"/>
          <w:szCs w:val="21"/>
          <w:highlight w:val="none"/>
          <w:u w:val="single"/>
        </w:rPr>
        <w:t xml:space="preserve">               </w:t>
      </w:r>
    </w:p>
    <w:p w14:paraId="04339F3F">
      <w:pPr>
        <w:spacing w:line="360" w:lineRule="auto"/>
        <w:ind w:firstLine="420" w:firstLineChars="200"/>
        <w:rPr>
          <w:rFonts w:ascii="仿宋" w:hAnsi="仿宋" w:eastAsia="仿宋"/>
          <w:b/>
          <w:color w:val="auto"/>
          <w:szCs w:val="21"/>
          <w:highlight w:val="none"/>
        </w:rPr>
      </w:pPr>
      <w:r>
        <w:rPr>
          <w:rFonts w:hint="eastAsia" w:ascii="仿宋" w:hAnsi="仿宋" w:eastAsia="仿宋" w:cs="宋体"/>
          <w:color w:val="auto"/>
          <w:szCs w:val="21"/>
          <w:highlight w:val="none"/>
        </w:rPr>
        <w:t>传      真：</w:t>
      </w: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传      真：</w:t>
      </w:r>
      <w:r>
        <w:rPr>
          <w:rFonts w:hint="eastAsia" w:ascii="仿宋" w:hAnsi="仿宋" w:eastAsia="仿宋" w:cs="宋体"/>
          <w:color w:val="auto"/>
          <w:szCs w:val="21"/>
          <w:highlight w:val="none"/>
          <w:u w:val="single"/>
        </w:rPr>
        <w:t xml:space="preserve">               </w:t>
      </w:r>
    </w:p>
    <w:p w14:paraId="7CF145DF">
      <w:pPr>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开 户 银行：</w:t>
      </w: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开 户 银行：</w:t>
      </w:r>
      <w:r>
        <w:rPr>
          <w:rFonts w:hint="eastAsia" w:ascii="仿宋" w:hAnsi="仿宋" w:eastAsia="仿宋" w:cs="宋体"/>
          <w:color w:val="auto"/>
          <w:szCs w:val="21"/>
          <w:highlight w:val="none"/>
          <w:u w:val="single"/>
        </w:rPr>
        <w:t xml:space="preserve">               </w:t>
      </w:r>
    </w:p>
    <w:p w14:paraId="0F1313D6">
      <w:pPr>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帐      号：</w:t>
      </w:r>
      <w:r>
        <w:rPr>
          <w:rFonts w:hint="eastAsia" w:ascii="仿宋" w:hAnsi="仿宋" w:eastAsia="仿宋"/>
          <w:color w:val="auto"/>
          <w:szCs w:val="21"/>
          <w:highlight w:val="none"/>
        </w:rPr>
        <w:t xml:space="preserve">                                  </w:t>
      </w:r>
      <w:r>
        <w:rPr>
          <w:rFonts w:hint="eastAsia" w:ascii="仿宋" w:hAnsi="仿宋" w:eastAsia="仿宋" w:cs="宋体"/>
          <w:color w:val="auto"/>
          <w:szCs w:val="21"/>
          <w:highlight w:val="none"/>
        </w:rPr>
        <w:t>帐      号：</w:t>
      </w:r>
      <w:r>
        <w:rPr>
          <w:rFonts w:hint="eastAsia" w:ascii="仿宋" w:hAnsi="仿宋" w:eastAsia="仿宋" w:cs="宋体"/>
          <w:color w:val="auto"/>
          <w:szCs w:val="21"/>
          <w:highlight w:val="none"/>
          <w:u w:val="single"/>
        </w:rPr>
        <w:t xml:space="preserve">               </w:t>
      </w:r>
    </w:p>
    <w:p w14:paraId="60D2179A">
      <w:pPr>
        <w:spacing w:line="360" w:lineRule="auto"/>
        <w:ind w:firstLine="482" w:firstLineChars="200"/>
        <w:jc w:val="center"/>
        <w:rPr>
          <w:rFonts w:ascii="仿宋" w:hAnsi="仿宋" w:eastAsia="仿宋" w:cs="宋体"/>
          <w:b/>
          <w:bCs/>
          <w:color w:val="auto"/>
          <w:sz w:val="24"/>
          <w:szCs w:val="20"/>
          <w:highlight w:val="none"/>
        </w:rPr>
      </w:pPr>
    </w:p>
    <w:p w14:paraId="6490A6A2">
      <w:pPr>
        <w:spacing w:line="360" w:lineRule="auto"/>
        <w:ind w:firstLine="482" w:firstLineChars="200"/>
        <w:jc w:val="center"/>
        <w:rPr>
          <w:rFonts w:ascii="仿宋" w:hAnsi="仿宋" w:eastAsia="仿宋" w:cs="宋体"/>
          <w:b/>
          <w:bCs/>
          <w:color w:val="auto"/>
          <w:sz w:val="24"/>
          <w:highlight w:val="none"/>
        </w:rPr>
      </w:pPr>
    </w:p>
    <w:p w14:paraId="2FBEEF8A">
      <w:pPr>
        <w:spacing w:line="360" w:lineRule="auto"/>
        <w:ind w:firstLine="482" w:firstLineChars="200"/>
        <w:jc w:val="center"/>
        <w:rPr>
          <w:rFonts w:ascii="仿宋" w:hAnsi="仿宋" w:eastAsia="仿宋" w:cs="宋体"/>
          <w:b/>
          <w:bCs/>
          <w:color w:val="auto"/>
          <w:sz w:val="24"/>
          <w:highlight w:val="none"/>
        </w:rPr>
      </w:pPr>
    </w:p>
    <w:p w14:paraId="518F0251">
      <w:pPr>
        <w:spacing w:line="360" w:lineRule="auto"/>
        <w:ind w:firstLine="482" w:firstLineChars="200"/>
        <w:jc w:val="center"/>
        <w:rPr>
          <w:rFonts w:ascii="仿宋" w:hAnsi="仿宋" w:eastAsia="仿宋" w:cs="宋体"/>
          <w:b/>
          <w:bCs/>
          <w:color w:val="auto"/>
          <w:sz w:val="24"/>
          <w:highlight w:val="none"/>
        </w:rPr>
      </w:pPr>
    </w:p>
    <w:p w14:paraId="3604E010">
      <w:pPr>
        <w:pStyle w:val="2"/>
        <w:tabs>
          <w:tab w:val="left" w:pos="3780"/>
        </w:tabs>
        <w:jc w:val="center"/>
        <w:rPr>
          <w:rFonts w:hint="eastAsia" w:ascii="仿宋" w:hAnsi="仿宋" w:eastAsia="仿宋"/>
          <w:color w:val="auto"/>
          <w:szCs w:val="28"/>
          <w:highlight w:val="none"/>
        </w:rPr>
      </w:pPr>
      <w:r>
        <w:rPr>
          <w:rFonts w:hint="eastAsia" w:ascii="仿宋" w:hAnsi="仿宋" w:eastAsia="仿宋"/>
          <w:color w:val="auto"/>
          <w:sz w:val="28"/>
          <w:highlight w:val="none"/>
        </w:rPr>
        <w:br w:type="page"/>
      </w:r>
      <w:bookmarkStart w:id="0" w:name="_Toc325032605"/>
      <w:bookmarkStart w:id="1" w:name="_Toc317065394"/>
      <w:bookmarkStart w:id="2" w:name="_Toc342748410"/>
      <w:bookmarkStart w:id="3" w:name="_Toc108711483"/>
      <w:bookmarkStart w:id="4" w:name="_Toc55665150"/>
      <w:r>
        <w:rPr>
          <w:rFonts w:hint="eastAsia" w:ascii="仿宋" w:hAnsi="仿宋" w:eastAsia="仿宋"/>
          <w:color w:val="auto"/>
          <w:highlight w:val="none"/>
        </w:rPr>
        <w:t>通用条款</w:t>
      </w:r>
      <w:bookmarkEnd w:id="0"/>
      <w:bookmarkEnd w:id="1"/>
      <w:bookmarkEnd w:id="2"/>
      <w:bookmarkEnd w:id="3"/>
      <w:bookmarkEnd w:id="4"/>
    </w:p>
    <w:p w14:paraId="63C3F571">
      <w:pPr>
        <w:widowControl/>
        <w:spacing w:line="360" w:lineRule="auto"/>
        <w:ind w:firstLine="422" w:firstLineChars="200"/>
        <w:jc w:val="left"/>
        <w:outlineLvl w:val="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一、词语定义及合同文件</w:t>
      </w:r>
    </w:p>
    <w:p w14:paraId="1696517A">
      <w:pPr>
        <w:widowControl/>
        <w:spacing w:line="360" w:lineRule="auto"/>
        <w:ind w:firstLine="420" w:firstLineChars="200"/>
        <w:jc w:val="left"/>
        <w:outlineLvl w:val="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１、词语定义</w:t>
      </w:r>
    </w:p>
    <w:p w14:paraId="3C70A59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下列词语除专用条款另有约定外，应具有本条所赋予的定义：</w:t>
      </w:r>
    </w:p>
    <w:p w14:paraId="0FDA53B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1.1通用条款：是根据法律、行政法规规定及建设工程施工的需要订立，通用于建设工程施工的条款。</w:t>
      </w:r>
    </w:p>
    <w:p w14:paraId="07D8404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1.2专用条款：是发包人与承包人根据法律、行政法规规定，结合具体工程实际，经协商达成一致意见的条款，是对通用条款的具体化、补充或修改。</w:t>
      </w:r>
    </w:p>
    <w:p w14:paraId="700803A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1.3发包人：指在协议书中约定，具有工程发包主体资格和支付工程价款能力的当事人以及取得该当事人资格的合法继承人。</w:t>
      </w:r>
    </w:p>
    <w:p w14:paraId="5D7D5E9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1.4承包人：指在协议书中约定，被发包人接受的具有工程施工承包主体资格的当事人以及取得该当事人资格的合法继承人。</w:t>
      </w:r>
    </w:p>
    <w:p w14:paraId="6D158C0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1.5项目经理：指承包人在专用条款中指定的具有执业资格的负责施工管理和合同履行的代表。</w:t>
      </w:r>
    </w:p>
    <w:p w14:paraId="3CABA46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1.6设计单位：指发包人委托的负责本工程设计并取得相应工程设计资质等级证书的单位。</w:t>
      </w:r>
    </w:p>
    <w:p w14:paraId="6E95133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1.7监理单位：指发包人委托的负责本工程监理并取得相应工程监理资质等级证书的单位。</w:t>
      </w:r>
    </w:p>
    <w:p w14:paraId="1BC8BF6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1.8工程师：指本工程监理单位委派的总监理工程师或发包人指定的履行本合同的代表，其具体身份和职权由发包人承包人在专用条款中约定。</w:t>
      </w:r>
    </w:p>
    <w:p w14:paraId="04F1EE5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1.9工程造价管理部门：指国务院有关部门、县级以上人民政府建设行政主管部门或其委托的工程造价管理机构。</w:t>
      </w:r>
    </w:p>
    <w:p w14:paraId="1289BAF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1.10工程：指发包人承包人在协议书中约定的承包范围内的工程。</w:t>
      </w:r>
    </w:p>
    <w:p w14:paraId="6DB204CD">
      <w:pPr>
        <w:widowControl/>
        <w:spacing w:line="360" w:lineRule="auto"/>
        <w:ind w:firstLine="420" w:firstLineChars="200"/>
        <w:jc w:val="left"/>
        <w:rPr>
          <w:rFonts w:hint="eastAsia" w:ascii="仿宋" w:hAnsi="仿宋" w:eastAsia="仿宋" w:cs="仿宋"/>
          <w:bCs/>
          <w:color w:val="000000"/>
          <w:kern w:val="0"/>
          <w:sz w:val="21"/>
          <w:szCs w:val="21"/>
          <w:highlight w:val="none"/>
        </w:rPr>
      </w:pPr>
      <w:r>
        <w:rPr>
          <w:rFonts w:hint="eastAsia" w:ascii="仿宋" w:hAnsi="仿宋" w:eastAsia="仿宋" w:cs="仿宋"/>
          <w:bCs/>
          <w:color w:val="000000"/>
          <w:kern w:val="0"/>
          <w:sz w:val="21"/>
          <w:szCs w:val="21"/>
          <w:highlight w:val="none"/>
        </w:rPr>
        <w:t>1.11工程量清单：表现拟建工程的分部分项工程项目、措施项目、其他项目名称和相应数量的明细清单。</w:t>
      </w:r>
    </w:p>
    <w:p w14:paraId="759ED3C7">
      <w:pPr>
        <w:widowControl/>
        <w:spacing w:line="360" w:lineRule="auto"/>
        <w:ind w:firstLine="420" w:firstLineChars="200"/>
        <w:jc w:val="left"/>
        <w:rPr>
          <w:rFonts w:hint="eastAsia" w:ascii="仿宋" w:hAnsi="仿宋" w:eastAsia="仿宋" w:cs="仿宋"/>
          <w:bCs/>
          <w:color w:val="000000"/>
          <w:kern w:val="0"/>
          <w:sz w:val="21"/>
          <w:szCs w:val="21"/>
          <w:highlight w:val="none"/>
        </w:rPr>
      </w:pPr>
      <w:r>
        <w:rPr>
          <w:rFonts w:hint="eastAsia" w:ascii="仿宋" w:hAnsi="仿宋" w:eastAsia="仿宋" w:cs="仿宋"/>
          <w:bCs/>
          <w:color w:val="000000"/>
          <w:kern w:val="0"/>
          <w:sz w:val="21"/>
          <w:szCs w:val="21"/>
          <w:highlight w:val="none"/>
        </w:rPr>
        <w:t>1.12综合单价：完成工程量清单中一个规定计量单位项目所需的人工费、材料费、机械使用费、管理费和利润，并考虑风险因素。</w:t>
      </w:r>
    </w:p>
    <w:p w14:paraId="697EA449">
      <w:pPr>
        <w:widowControl/>
        <w:spacing w:line="360" w:lineRule="auto"/>
        <w:ind w:firstLine="420" w:firstLineChars="200"/>
        <w:jc w:val="left"/>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rPr>
        <w:t>1.13合同价款：指发包人承包人在协议书中约定，发包人用以支付承包人按照合同约定完成承包范围内全部工程并承担质量保修责任的款项。</w:t>
      </w:r>
    </w:p>
    <w:p w14:paraId="44F0950B">
      <w:pPr>
        <w:widowControl/>
        <w:spacing w:line="360" w:lineRule="auto"/>
        <w:ind w:firstLine="420" w:firstLineChars="200"/>
        <w:jc w:val="left"/>
        <w:rPr>
          <w:rFonts w:hint="eastAsia" w:ascii="仿宋" w:hAnsi="仿宋" w:eastAsia="仿宋" w:cs="仿宋"/>
          <w:bCs/>
          <w:color w:val="000000"/>
          <w:kern w:val="0"/>
          <w:sz w:val="21"/>
          <w:szCs w:val="21"/>
          <w:highlight w:val="none"/>
        </w:rPr>
      </w:pPr>
      <w:r>
        <w:rPr>
          <w:rFonts w:hint="eastAsia" w:ascii="仿宋" w:hAnsi="仿宋" w:eastAsia="仿宋" w:cs="仿宋"/>
          <w:bCs/>
          <w:color w:val="000000"/>
          <w:kern w:val="0"/>
          <w:sz w:val="21"/>
          <w:szCs w:val="21"/>
          <w:highlight w:val="none"/>
        </w:rPr>
        <w:t>1.14预留金：指发包人为可能发生的工程量变更而预留的款额。</w:t>
      </w:r>
    </w:p>
    <w:p w14:paraId="47BE80F1">
      <w:pPr>
        <w:widowControl/>
        <w:spacing w:line="360" w:lineRule="auto"/>
        <w:ind w:firstLine="420" w:firstLineChars="200"/>
        <w:jc w:val="left"/>
        <w:rPr>
          <w:rFonts w:hint="eastAsia" w:ascii="仿宋" w:hAnsi="仿宋" w:eastAsia="仿宋" w:cs="仿宋"/>
          <w:bCs/>
          <w:color w:val="000000"/>
          <w:kern w:val="0"/>
          <w:sz w:val="21"/>
          <w:szCs w:val="21"/>
          <w:highlight w:val="none"/>
        </w:rPr>
      </w:pPr>
      <w:r>
        <w:rPr>
          <w:rFonts w:hint="eastAsia" w:ascii="仿宋" w:hAnsi="仿宋" w:eastAsia="仿宋" w:cs="仿宋"/>
          <w:bCs/>
          <w:color w:val="000000"/>
          <w:kern w:val="0"/>
          <w:sz w:val="21"/>
          <w:szCs w:val="21"/>
          <w:highlight w:val="none"/>
        </w:rPr>
        <w:t>1.15工程分包和材料购置费：指发包人将按有关规定准予分包的工作、指定分包人或指定材料供应商供应材料而预留的款额。</w:t>
      </w:r>
    </w:p>
    <w:p w14:paraId="4154D4AB">
      <w:pPr>
        <w:widowControl/>
        <w:spacing w:line="360" w:lineRule="auto"/>
        <w:ind w:firstLine="420" w:firstLineChars="200"/>
        <w:jc w:val="left"/>
        <w:rPr>
          <w:rFonts w:hint="eastAsia" w:ascii="仿宋" w:hAnsi="仿宋" w:eastAsia="仿宋" w:cs="仿宋"/>
          <w:bCs/>
          <w:color w:val="000000"/>
          <w:kern w:val="0"/>
          <w:sz w:val="21"/>
          <w:szCs w:val="21"/>
          <w:highlight w:val="none"/>
        </w:rPr>
      </w:pPr>
      <w:r>
        <w:rPr>
          <w:rFonts w:hint="eastAsia" w:ascii="仿宋" w:hAnsi="仿宋" w:eastAsia="仿宋" w:cs="仿宋"/>
          <w:bCs/>
          <w:color w:val="000000"/>
          <w:kern w:val="0"/>
          <w:sz w:val="21"/>
          <w:szCs w:val="21"/>
          <w:highlight w:val="none"/>
        </w:rPr>
        <w:t>1.16总承包服务费：为配合协调发包人进行的工程分包和材料采购所需的费用。</w:t>
      </w:r>
    </w:p>
    <w:p w14:paraId="1960E6BE">
      <w:pPr>
        <w:widowControl/>
        <w:spacing w:line="360" w:lineRule="auto"/>
        <w:ind w:firstLine="420" w:firstLineChars="200"/>
        <w:jc w:val="left"/>
        <w:rPr>
          <w:rFonts w:hint="eastAsia" w:ascii="仿宋" w:hAnsi="仿宋" w:eastAsia="仿宋" w:cs="仿宋"/>
          <w:bCs/>
          <w:color w:val="000000"/>
          <w:kern w:val="0"/>
          <w:sz w:val="21"/>
          <w:szCs w:val="21"/>
          <w:highlight w:val="none"/>
        </w:rPr>
      </w:pPr>
      <w:r>
        <w:rPr>
          <w:rFonts w:hint="eastAsia" w:ascii="仿宋" w:hAnsi="仿宋" w:eastAsia="仿宋" w:cs="仿宋"/>
          <w:bCs/>
          <w:color w:val="000000"/>
          <w:kern w:val="0"/>
          <w:sz w:val="21"/>
          <w:szCs w:val="21"/>
          <w:highlight w:val="none"/>
        </w:rPr>
        <w:t>1.17零星工作项目费：完成发包人提出的工程量暂估的零星工作所需的费用。</w:t>
      </w:r>
    </w:p>
    <w:p w14:paraId="240CCD61">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1.18追加合同价款：指在合同履行中发生需要增加合同价款的情况，经发包人确认后按计算合同价款的方法增加的合同价款。</w:t>
      </w:r>
    </w:p>
    <w:p w14:paraId="6953D14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1.19费用：指不包含在合同价款之内的应当由发包人或承包人承担的经济支出。</w:t>
      </w:r>
    </w:p>
    <w:p w14:paraId="3661329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1.20工期：指发包人承包人在协议书中约定，按总日历天数（包括法定节假日）计算的承包天数。</w:t>
      </w:r>
    </w:p>
    <w:p w14:paraId="7B03E76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1.21开工日期：指发包人承包人在协议书中约定，承包人开始施工的绝对或相对的日期。</w:t>
      </w:r>
    </w:p>
    <w:p w14:paraId="2330929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1.22竣工日期：指发包人承包人在协议书中约定，承包人完成承包范围内工程的绝对或相对的日期。</w:t>
      </w:r>
    </w:p>
    <w:p w14:paraId="0A6FA6A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1.23图纸：指由发包人提供或由承包人提供并经发包人批准，满足承包人施工需要的所有图纸（包括配套说明和有关资料）。</w:t>
      </w:r>
    </w:p>
    <w:p w14:paraId="7E5853EE">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1.24施工场地：指由发包人提供的用于工程施工的场所以及发包人在图纸中具体指定的供施工使用的任何其他场所。</w:t>
      </w:r>
    </w:p>
    <w:p w14:paraId="6C94A92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1.25书面形式：指合同书、信件和数据电文（包括电报、电传、传真、电子数据交换和电子邮件）等可以有形地表现所载内容的形式。</w:t>
      </w:r>
    </w:p>
    <w:p w14:paraId="469B45C1">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1.26违约责任：指合同一方不履行合同义务或履行合同义务不符合约定所应承担的责任。</w:t>
      </w:r>
    </w:p>
    <w:p w14:paraId="09C063C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1.27索赔：指在合同履行过程中，对于并非自己的过错，而是应由对方承担责任的情况造成的实际损失，向对方提出经济补偿和（或）工期顺延的要求。</w:t>
      </w:r>
    </w:p>
    <w:p w14:paraId="633243E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1.28不可抗力：指不能预见、不能避免并不能克服的客观情况。</w:t>
      </w:r>
    </w:p>
    <w:p w14:paraId="79024C3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DFB9A55">
      <w:pPr>
        <w:widowControl/>
        <w:spacing w:line="360" w:lineRule="auto"/>
        <w:ind w:firstLine="420" w:firstLineChars="200"/>
        <w:jc w:val="left"/>
        <w:outlineLvl w:val="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２、合同文件及解释顺序</w:t>
      </w:r>
    </w:p>
    <w:p w14:paraId="1EB86A7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2.1合同文件应能相互解释，互为说明。除专用条款另有约定外，组成本合同的文件及优先解释顺序如下：</w:t>
      </w:r>
    </w:p>
    <w:p w14:paraId="7EB8B79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1、本合同协议书</w:t>
      </w:r>
    </w:p>
    <w:p w14:paraId="21A6527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2、本合同专用条款</w:t>
      </w:r>
    </w:p>
    <w:p w14:paraId="55B67A89">
      <w:pPr>
        <w:widowControl/>
        <w:spacing w:line="360" w:lineRule="auto"/>
        <w:ind w:firstLine="420" w:firstLineChars="200"/>
        <w:jc w:val="left"/>
        <w:rPr>
          <w:rFonts w:hint="eastAsia" w:ascii="仿宋" w:hAnsi="仿宋" w:eastAsia="仿宋" w:cs="仿宋"/>
          <w:b/>
          <w:bCs/>
          <w:color w:val="FF0000"/>
          <w:kern w:val="0"/>
          <w:sz w:val="21"/>
          <w:szCs w:val="21"/>
          <w:highlight w:val="none"/>
        </w:rPr>
      </w:pPr>
      <w:r>
        <w:rPr>
          <w:rFonts w:hint="eastAsia" w:ascii="仿宋" w:hAnsi="仿宋" w:eastAsia="仿宋" w:cs="仿宋"/>
          <w:kern w:val="0"/>
          <w:sz w:val="21"/>
          <w:szCs w:val="21"/>
          <w:highlight w:val="none"/>
        </w:rPr>
        <w:t>3、本合同通用条款</w:t>
      </w:r>
    </w:p>
    <w:p w14:paraId="0742107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4、中标通知书</w:t>
      </w:r>
    </w:p>
    <w:p w14:paraId="5D7BFEC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5、投标书、工程报价单或预算书及其附件</w:t>
      </w:r>
    </w:p>
    <w:p w14:paraId="7C06FDE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6、招标文件、答疑纪要及工程量清单　</w:t>
      </w:r>
    </w:p>
    <w:p w14:paraId="58D3D3A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7、图纸</w:t>
      </w:r>
    </w:p>
    <w:p w14:paraId="2EB6361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8、标准、规范及有关技术文件</w:t>
      </w:r>
    </w:p>
    <w:p w14:paraId="3D9CEB9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双方为履行本合同的有关洽商、变更等书面协议、文件，视为本合同的组成部分。</w:t>
      </w:r>
    </w:p>
    <w:p w14:paraId="0E9641BC">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FA75E5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3、语言文字和适用法律、标准及规范</w:t>
      </w:r>
    </w:p>
    <w:p w14:paraId="3E35729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3.1语言文字</w:t>
      </w:r>
    </w:p>
    <w:p w14:paraId="1F91B84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本合同文件使用汉语语言文字书写、解释和说明。如专用条款约定使用两种以上（含两种）语言文字时，汉语应为解释和说明本合同的标准语言文字。</w:t>
      </w:r>
    </w:p>
    <w:p w14:paraId="1568B92C">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3.2适用法律和法规</w:t>
      </w:r>
    </w:p>
    <w:p w14:paraId="28C845AC">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本合同文件适用国家的法律和行政法规。需要明示的法律、行政法规，由双方在专用条款中约定。</w:t>
      </w:r>
    </w:p>
    <w:p w14:paraId="64881DB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3.3适用标准、规范</w:t>
      </w:r>
    </w:p>
    <w:p w14:paraId="7C11C2F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7E3DE9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77D4B5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本条所发生的购买、翻译标准、规范或制定施工工艺的费用，由发包人承担。</w:t>
      </w:r>
    </w:p>
    <w:p w14:paraId="7470DCC9">
      <w:pPr>
        <w:widowControl/>
        <w:spacing w:line="360" w:lineRule="auto"/>
        <w:ind w:firstLine="420" w:firstLineChars="200"/>
        <w:jc w:val="left"/>
        <w:outlineLvl w:val="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４、图纸</w:t>
      </w:r>
    </w:p>
    <w:p w14:paraId="475F76B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077DC8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4.2承包人未经发包人同意，不得将本工程图纸转给第三人。工程质量保修期满后，除承包人存档需要的图纸外，应将全部图纸退还给发包人。</w:t>
      </w:r>
    </w:p>
    <w:p w14:paraId="36ED211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4.3承包人应在施工现场保留一套完整图纸，供工程师及有关人员进行工程检查时使用。</w:t>
      </w:r>
    </w:p>
    <w:p w14:paraId="09492250">
      <w:pPr>
        <w:widowControl/>
        <w:spacing w:line="360" w:lineRule="auto"/>
        <w:ind w:firstLine="422" w:firstLineChars="200"/>
        <w:jc w:val="left"/>
        <w:outlineLvl w:val="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二、双方一般权利和义务</w:t>
      </w:r>
    </w:p>
    <w:p w14:paraId="48A81C00">
      <w:pPr>
        <w:widowControl/>
        <w:spacing w:line="360" w:lineRule="auto"/>
        <w:ind w:firstLine="420" w:firstLineChars="200"/>
        <w:jc w:val="left"/>
        <w:outlineLvl w:val="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５、工程师</w:t>
      </w:r>
    </w:p>
    <w:p w14:paraId="616D987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5.1实行工程监理的，发包人应在实施监理前将委托的监理单位名称、监理内容及监理权限以书面形式通知承包人。</w:t>
      </w:r>
    </w:p>
    <w:p w14:paraId="0AAEC8D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66E8C1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171D71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24D5EB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5.5除合同内有明确约定或经发包人同意外，负责监理的工程师无权解除本合同约定的承包人的任何权利与义务。</w:t>
      </w:r>
    </w:p>
    <w:p w14:paraId="3EE3109E">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5.6不实行工程监理的，本合同中工程师专指发包人派驻施工场地履行合同的代表，其具体职权由发包人在专用条款内写明。</w:t>
      </w:r>
    </w:p>
    <w:p w14:paraId="680A766B">
      <w:pPr>
        <w:widowControl/>
        <w:spacing w:line="360" w:lineRule="auto"/>
        <w:ind w:firstLine="420" w:firstLineChars="200"/>
        <w:jc w:val="left"/>
        <w:outlineLvl w:val="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６、工程师的委派和指令</w:t>
      </w:r>
    </w:p>
    <w:p w14:paraId="1A32146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E31303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14CA67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除工程师或工程师代表外，发包人派驻工地的其他人员均无权向承包人发出任何指令。</w:t>
      </w:r>
    </w:p>
    <w:p w14:paraId="59AB10A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E5E578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7B8B82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本款规定同样适用于由工程师代表发出的指令、通知。</w:t>
      </w:r>
    </w:p>
    <w:p w14:paraId="30B0CFD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E8298C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6.4如需更换工程师，发包人应至少提前7天以书面形式通知承包人，后任继续行使合同文件约定的前任的职权，履行前任的义务。</w:t>
      </w:r>
    </w:p>
    <w:p w14:paraId="326E748F">
      <w:pPr>
        <w:widowControl/>
        <w:spacing w:line="360" w:lineRule="auto"/>
        <w:ind w:firstLine="420" w:firstLineChars="200"/>
        <w:jc w:val="left"/>
        <w:outlineLvl w:val="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７、项目经理</w:t>
      </w:r>
    </w:p>
    <w:p w14:paraId="5F6C1D9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7.1项目经理的姓名、职务在专用条款内写明。</w:t>
      </w:r>
    </w:p>
    <w:p w14:paraId="566CF6D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7.2承包人依据合同发出的通知，以书面形式由项目经理签字后送交工程师，工程师在回执上签署姓名和收到时间后生效。</w:t>
      </w:r>
    </w:p>
    <w:p w14:paraId="5A66907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91DC1AC">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7.4承包人如需要更换项目经理，应至少提前7天以书面形式通知发包人，</w:t>
      </w:r>
      <w:r>
        <w:rPr>
          <w:rFonts w:hint="eastAsia" w:ascii="仿宋" w:hAnsi="仿宋" w:eastAsia="仿宋" w:cs="仿宋"/>
          <w:bCs/>
          <w:kern w:val="0"/>
          <w:sz w:val="21"/>
          <w:szCs w:val="21"/>
          <w:highlight w:val="none"/>
        </w:rPr>
        <w:t>并</w:t>
      </w:r>
      <w:r>
        <w:rPr>
          <w:rFonts w:hint="eastAsia" w:ascii="仿宋" w:hAnsi="仿宋" w:eastAsia="仿宋" w:cs="仿宋"/>
          <w:kern w:val="0"/>
          <w:sz w:val="21"/>
          <w:szCs w:val="21"/>
          <w:highlight w:val="none"/>
        </w:rPr>
        <w:t>征得发包人同意。后任继续行使合同文件约定的前任的职权，履行前任的义务。</w:t>
      </w:r>
    </w:p>
    <w:p w14:paraId="279B07B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7.5发包人可以与承包人协商，建议更换其认为不称职的项目经理。</w:t>
      </w:r>
    </w:p>
    <w:p w14:paraId="3CA8D89D">
      <w:pPr>
        <w:widowControl/>
        <w:spacing w:line="360" w:lineRule="auto"/>
        <w:ind w:firstLine="420" w:firstLineChars="200"/>
        <w:jc w:val="left"/>
        <w:outlineLvl w:val="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８、发包人工作</w:t>
      </w:r>
    </w:p>
    <w:p w14:paraId="25931C2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8.1发包人按专用条款约定的内容和时间完成以下工作：</w:t>
      </w:r>
    </w:p>
    <w:p w14:paraId="4947E5E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（1）办理土地征用、拆迁补偿、平整施工场地等工作，使施工场地具备施工条件，在开工后继续负责解决以上事项遗留问题；</w:t>
      </w:r>
    </w:p>
    <w:p w14:paraId="78FF031C">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（2）将施工所需水、电、电讯线路从施工场地外部接至专用条款约定地点，保证施工期间的需要；</w:t>
      </w:r>
    </w:p>
    <w:p w14:paraId="53C94CD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（3）开通施工场地与城乡公共道路的通道，以及专用条款约定的施工场地内的主要道路，满足施工运输的需要，保证施工期间的畅通；</w:t>
      </w:r>
    </w:p>
    <w:p w14:paraId="66F7F10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（4）向承包人提供施工场地的工程地质和地下管线资料，对资料的真实准确性负责；</w:t>
      </w:r>
    </w:p>
    <w:p w14:paraId="18620E3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（5）办理施工许可证及其它施工所需批件和临时用地、停水、停电、中断道路交通、爆破作业等的证件申请批准手续（证明承包人自身资质的证件除外）；</w:t>
      </w:r>
    </w:p>
    <w:p w14:paraId="716EC86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（6）确定水准点与坐标控制点，以书面形式交给承包人，进行现场交验；</w:t>
      </w:r>
    </w:p>
    <w:p w14:paraId="07B67DA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（7）组织承包人和设计单位进行图纸会审和设计交底；</w:t>
      </w:r>
    </w:p>
    <w:p w14:paraId="041244E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（8）协调处理施工场地周围地下管线和邻近建筑物、构筑物（包括文物保护建筑）、古树名木的保护工作、承担有关费用；</w:t>
      </w:r>
    </w:p>
    <w:p w14:paraId="2FA08B5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（9）发包人应做的其他工作，双方在专用条款内约定。</w:t>
      </w:r>
    </w:p>
    <w:p w14:paraId="2032A87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8.2发包人可以将8.1款部分工作委托承包人办理，双方在专用条款内约定，其费用由发包人承担。</w:t>
      </w:r>
    </w:p>
    <w:p w14:paraId="527ED96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8.3发包人未能履行8.1款各项义务，导致工期延误或给承包人造成损失的，发包人赔偿承包人有关损失，顺延延误的工期。</w:t>
      </w:r>
    </w:p>
    <w:p w14:paraId="42A196E5">
      <w:pPr>
        <w:widowControl/>
        <w:spacing w:line="360" w:lineRule="auto"/>
        <w:ind w:firstLine="420" w:firstLineChars="200"/>
        <w:jc w:val="left"/>
        <w:outlineLvl w:val="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９、承包人工作</w:t>
      </w:r>
    </w:p>
    <w:p w14:paraId="0E85480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9.1承包人按专用条款约定的内容和时间完成以下工作：</w:t>
      </w:r>
    </w:p>
    <w:p w14:paraId="4C9723D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（1）根据发包人委托，在其设计资质等级和业务允许的范围内，完成施工图设计或与工程配套的设计，经工程师确认后使用，发包人承担由此发生的费用；</w:t>
      </w:r>
    </w:p>
    <w:p w14:paraId="7404DC2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（2）向工程师提供年、季、月度工程进度计划及相应进度统计报表；</w:t>
      </w:r>
    </w:p>
    <w:p w14:paraId="6CE6629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（3）根据工程需要，提供和维修非夜间施工使用的照明、围栏设施；负责施工现场安全保卫；</w:t>
      </w:r>
    </w:p>
    <w:p w14:paraId="55BD36D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（4）按专用条款约定的数量和要求，向发包人提供施工场地办公和生活的房屋及设施，发包人承担由此发生的费用；</w:t>
      </w:r>
    </w:p>
    <w:p w14:paraId="781FFD0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（5）遵守政府有关主管部门对施工场地安全防护、文明施工、环境保护以及场地交通等的管理规定，按规定办理有关手续，并以书面形式通知发包人。</w:t>
      </w:r>
    </w:p>
    <w:p w14:paraId="42A9B19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D30ACF4">
      <w:pPr>
        <w:widowControl/>
        <w:spacing w:line="360" w:lineRule="auto"/>
        <w:ind w:firstLine="420" w:firstLineChars="200"/>
        <w:jc w:val="left"/>
        <w:rPr>
          <w:rFonts w:hint="eastAsia" w:ascii="仿宋" w:hAnsi="仿宋" w:eastAsia="仿宋" w:cs="仿宋"/>
          <w:b/>
          <w:bCs/>
          <w:color w:val="0000FF"/>
          <w:kern w:val="0"/>
          <w:sz w:val="21"/>
          <w:szCs w:val="21"/>
          <w:highlight w:val="none"/>
        </w:rPr>
      </w:pPr>
      <w:r>
        <w:rPr>
          <w:rFonts w:hint="eastAsia" w:ascii="仿宋" w:hAnsi="仿宋" w:eastAsia="仿宋" w:cs="仿宋"/>
          <w:kern w:val="0"/>
          <w:sz w:val="21"/>
          <w:szCs w:val="21"/>
          <w:highlight w:val="none"/>
        </w:rPr>
        <w:t>（7）按专用条款约定做好施工场地地下管线和邻近建筑物、构筑物（包括文物保护建筑）、古树名木的保护工作</w:t>
      </w:r>
      <w:r>
        <w:rPr>
          <w:rFonts w:hint="eastAsia" w:ascii="仿宋" w:hAnsi="仿宋" w:eastAsia="仿宋" w:cs="仿宋"/>
          <w:b/>
          <w:bCs/>
          <w:kern w:val="0"/>
          <w:sz w:val="21"/>
          <w:szCs w:val="21"/>
          <w:highlight w:val="none"/>
        </w:rPr>
        <w:t>；</w:t>
      </w:r>
    </w:p>
    <w:p w14:paraId="1A71208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（8）保证施工场地清洁符合环境卫生管理的有关规定，交工前清理现场达到专用条款约定的要求，承担因自身原因违反有关规定造成的损失和罚款；</w:t>
      </w:r>
    </w:p>
    <w:p w14:paraId="61EC7DE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（9）承包人应做的其他工作，双方在专用条款内约定。</w:t>
      </w:r>
    </w:p>
    <w:p w14:paraId="01AF64A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9.2承包人未能履行9.1款各项义务，造成发包人损失的，承包人赔偿发包人有关损失。</w:t>
      </w:r>
    </w:p>
    <w:p w14:paraId="728D9EAE">
      <w:pPr>
        <w:widowControl/>
        <w:spacing w:line="360" w:lineRule="auto"/>
        <w:ind w:firstLine="422" w:firstLineChars="200"/>
        <w:jc w:val="left"/>
        <w:outlineLvl w:val="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三、施工组织设计和工期</w:t>
      </w:r>
    </w:p>
    <w:p w14:paraId="49B9E30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10、进度计划</w:t>
      </w:r>
    </w:p>
    <w:p w14:paraId="595B9F4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10.1承包人应按专用条款约定的日期，将施工组织设计和工程进度计划提交工程师，工程师按专用条款约定的时间予以确认或提出修改意见，逾期不确认也不提出书面意见的，视为同意。</w:t>
      </w:r>
    </w:p>
    <w:p w14:paraId="27AB2AD1">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10.2群体工程中单位工程分期进行施工的，承包人应按照发包人提供图纸及有关资料的时间，按单位工程编制进度计划，其具体内容双方在专用条款中约定。</w:t>
      </w:r>
    </w:p>
    <w:p w14:paraId="32BC108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0F89E2A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11、开工及延期开工</w:t>
      </w:r>
    </w:p>
    <w:p w14:paraId="04E5582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A343BF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11.2因发包人原因不能按照协议书约定的开工日期开工，工程师应以书面形式通知承包人，推迟开工日期。发包人赔偿承包人因延期开工造成的损失，并相应顺延工期。</w:t>
      </w:r>
    </w:p>
    <w:p w14:paraId="3FF2E72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12、暂停施工</w:t>
      </w:r>
    </w:p>
    <w:p w14:paraId="379027E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8C6C5F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13、工期延误</w:t>
      </w:r>
    </w:p>
    <w:p w14:paraId="6DE516A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13.1因以下原因造成工期延误，经工程师确认，工期相应顺延：</w:t>
      </w:r>
    </w:p>
    <w:p w14:paraId="2F0F749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（1）发包人未能按专用条款的约定提供图纸及开工条件；</w:t>
      </w:r>
    </w:p>
    <w:p w14:paraId="2120614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（2）发包人未能按约定日期支付工程预付款、进度款，致使施工不能正常进行；</w:t>
      </w:r>
    </w:p>
    <w:p w14:paraId="3C86B6A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（3）工程师未按合同约定提供所需指令、批准等，致使施工不能正常进行；</w:t>
      </w:r>
    </w:p>
    <w:p w14:paraId="22E87E6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（4）设计变更和工程量增加；</w:t>
      </w:r>
    </w:p>
    <w:p w14:paraId="031A2A8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（5）一周内非承包人原因停水、停电、停气造成停工累计超过8小时；</w:t>
      </w:r>
    </w:p>
    <w:p w14:paraId="5C0ACD7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（6）不可抗力；</w:t>
      </w:r>
    </w:p>
    <w:p w14:paraId="0090550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（7）专用条款中约定或工程师同意工期顺延的其他情况。</w:t>
      </w:r>
    </w:p>
    <w:p w14:paraId="4344144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13.2承包人在13.1款情况发生后14天内，就延误的工期以书面形式向工程师提出报告。工程师在收到报告后14天内予以确认，逾期不予确认也不提出修改意见，视为同意顺延工期。</w:t>
      </w:r>
    </w:p>
    <w:p w14:paraId="0230E33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14、工程竣工</w:t>
      </w:r>
    </w:p>
    <w:p w14:paraId="20DF6CA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14.1承包人必须按照协议书约定的竣工日期或工程师同意顺延的工期竣工。</w:t>
      </w:r>
    </w:p>
    <w:p w14:paraId="5988925C">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14.2因承包人原因不能按照协议书约定的竣工日期或工程师同意顺延的工期竣工的，承包人承担违约责任。</w:t>
      </w:r>
    </w:p>
    <w:p w14:paraId="505E054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3CAB965">
      <w:pPr>
        <w:widowControl/>
        <w:spacing w:line="360" w:lineRule="auto"/>
        <w:ind w:firstLine="422" w:firstLineChars="200"/>
        <w:jc w:val="left"/>
        <w:outlineLvl w:val="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四、质量与检验</w:t>
      </w:r>
    </w:p>
    <w:p w14:paraId="77450CC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15、工程质量</w:t>
      </w:r>
    </w:p>
    <w:p w14:paraId="351884C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15.1工程质量应当达到协议书约定的质量标准，质量标准的评定以国家或行业的质量检验评定标准为依据。因承包人原因工程质量达不到约定的质量标准，承包人承担违约责任。</w:t>
      </w:r>
    </w:p>
    <w:p w14:paraId="51F80C9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15.2双方对工程质量有争议，由双方同意的工程质量检测机构鉴定，所需费用及因此造成的损失，由责任方承担。双方均有责任，由双方根据其责任分别承担。</w:t>
      </w:r>
    </w:p>
    <w:p w14:paraId="62FF616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16、检查和返工</w:t>
      </w:r>
    </w:p>
    <w:p w14:paraId="20FDD0A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16.1承包人应认真按照标准、规范和设计图纸要求以及工程师依据合同发出的指令施工，随时接受工程师的检查检验，为检查检验提供便利条件。</w:t>
      </w:r>
    </w:p>
    <w:p w14:paraId="3DFE23E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D29C6D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6987671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16.4因工程师指令失误或其他非承包人原因发生的追加合同价款，由发包人承担。</w:t>
      </w:r>
    </w:p>
    <w:p w14:paraId="497D1A3E">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17、隐蔽工程和中间验收</w:t>
      </w:r>
    </w:p>
    <w:p w14:paraId="75E21B1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11A9D31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C560EE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17.3经工程师验收，工程质量符合标准、规范和设计图纸等要求，验收24小时后，工程师不在验收记录上签字，视为工程师已经认可验收记录，承包人可进行隐蔽或继续施工。</w:t>
      </w:r>
    </w:p>
    <w:p w14:paraId="7837734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18、重新检验</w:t>
      </w:r>
    </w:p>
    <w:p w14:paraId="61A6AD1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4EF15B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19、工程试车</w:t>
      </w:r>
    </w:p>
    <w:p w14:paraId="06CD3E7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19.1双方约定需要试车的，试车内容应与承包人承包的安装范围相一致。</w:t>
      </w:r>
    </w:p>
    <w:p w14:paraId="4ADE8D9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38D82C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19.3工程师不能按时参加试车，须在开始试车前24小时以书面形式向承包人提出延期要求，延期不能超过48小时。工程师未能按以上时间提出延期要求，不参加试车，应承认试车记录。</w:t>
      </w:r>
    </w:p>
    <w:p w14:paraId="435358FE">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81AE83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19.5双方责任</w:t>
      </w:r>
    </w:p>
    <w:p w14:paraId="19C3B16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37CB4E2E">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948C4AC">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（3）由于承包人施工原因试车达不到验收要求，承包人按工程师要求重新安装和试车，并承担重新安装和试车的费用，工期不予顺延。</w:t>
      </w:r>
    </w:p>
    <w:p w14:paraId="759A3B8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（4）试车费用除已包括在合同价款之内或专用条款另有约定外，均由发包人承担。</w:t>
      </w:r>
    </w:p>
    <w:p w14:paraId="66CD21A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（5）工程师在试车合格后不在试车记录上签字，试车结束24小时后，视为工程师已经认可试车记录，承包人可继续施工或办理竣工手续。</w:t>
      </w:r>
    </w:p>
    <w:p w14:paraId="7B55C09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19.6投料试车应在工程竣工验收后由发包人负责，如发包人要求在工程竣工验收前进行或需要承包人配合时，应征得承包人同意，另行签订补充协议。</w:t>
      </w:r>
    </w:p>
    <w:p w14:paraId="23EAC188">
      <w:pPr>
        <w:widowControl/>
        <w:spacing w:line="360" w:lineRule="auto"/>
        <w:ind w:firstLine="422" w:firstLineChars="200"/>
        <w:jc w:val="left"/>
        <w:outlineLvl w:val="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五、安全防护、文明施工</w:t>
      </w:r>
    </w:p>
    <w:p w14:paraId="2CC8656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20、发包人责任</w:t>
      </w:r>
    </w:p>
    <w:p w14:paraId="49BF6F2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20．1　发包人应遵守安全防护和文明施工的规定，督促承包人落实安全防护、文明施工措施，并按规定支付安全防护、文明施工措施费。</w:t>
      </w:r>
    </w:p>
    <w:p w14:paraId="49C30CD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20．2　发包人应对其在施工现场人员进行安全防护、文明施工教育，并对他们的安全负责。</w:t>
      </w:r>
    </w:p>
    <w:p w14:paraId="3AB4DF2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6C5CDD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20．4　发包人违反上述规定或由于发包人原因导致安全事故的，由发包人承担相应责任和费用，顺延延误的工期。</w:t>
      </w:r>
    </w:p>
    <w:p w14:paraId="6A356F5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21、承包人责任</w:t>
      </w:r>
    </w:p>
    <w:p w14:paraId="1F617E19">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21.1　承包人应遵守安全防护和文明施工的规定，建立健全安全防护和文明施工的制度，对其在施工现场人员进行安全防护、文明施工教育，并对他们的安全负责。</w:t>
      </w:r>
    </w:p>
    <w:p w14:paraId="2C9B3BDE">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21.2　完善安全防护和文明施工条件，严格按照安全防护和文明施工的规定组织施工，采取必要的安全防护措施，消除事故隐患，自觉接受和配合依法实施的监督检查。</w:t>
      </w:r>
    </w:p>
    <w:p w14:paraId="1A158C5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FFC2D1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21.4　应按规定的范围使用安全文明措施费，保证专款专用，不得挪作它用。</w:t>
      </w:r>
    </w:p>
    <w:p w14:paraId="0E09BC4B">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21.5　承包人对合同工程的安全施工负责，并应及时、如实报告生产安全事故。承包人违反上述规定或由于承包人原因造成的安全事故，由承包人承担相应责任和费用，工期不予顺延。</w:t>
      </w:r>
    </w:p>
    <w:p w14:paraId="29BA4D11">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FEBEBF1">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797C46B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24、事故处理</w:t>
      </w:r>
    </w:p>
    <w:p w14:paraId="28137EC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24.1发生伤亡及其他安全事故，承包人应按有关规定立即上报有关部门并通知工程师，同时按政府有关部门要求处理，由事故责任方承担发生的费用。</w:t>
      </w:r>
    </w:p>
    <w:p w14:paraId="57081FF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24.2发包人承包人对事故责任有争议时，应按政府有关部门的认定处理。</w:t>
      </w:r>
    </w:p>
    <w:p w14:paraId="47DB32FE">
      <w:pPr>
        <w:widowControl/>
        <w:spacing w:line="360" w:lineRule="auto"/>
        <w:ind w:firstLine="422" w:firstLineChars="200"/>
        <w:jc w:val="left"/>
        <w:outlineLvl w:val="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六、合同价款</w:t>
      </w:r>
    </w:p>
    <w:p w14:paraId="62316787">
      <w:pPr>
        <w:widowControl/>
        <w:spacing w:line="360" w:lineRule="auto"/>
        <w:ind w:firstLine="420" w:firstLineChars="200"/>
        <w:jc w:val="left"/>
        <w:rPr>
          <w:rFonts w:hint="eastAsia" w:ascii="仿宋" w:hAnsi="仿宋" w:eastAsia="仿宋" w:cs="仿宋"/>
          <w:color w:val="FF0000"/>
          <w:sz w:val="21"/>
          <w:szCs w:val="21"/>
          <w:highlight w:val="none"/>
        </w:rPr>
      </w:pPr>
      <w:r>
        <w:rPr>
          <w:rFonts w:hint="eastAsia" w:ascii="仿宋" w:hAnsi="仿宋" w:eastAsia="仿宋" w:cs="仿宋"/>
          <w:kern w:val="0"/>
          <w:sz w:val="21"/>
          <w:szCs w:val="21"/>
          <w:highlight w:val="none"/>
        </w:rPr>
        <w:t>25、工程的计量规则和计价办法以《陕西省建设工程工程量清单计价规则》及相关规定为准，工程师应按照合同约定，依据上述规定进行工程计量和计价。</w:t>
      </w:r>
    </w:p>
    <w:p w14:paraId="66A9267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26、合同价款约定</w:t>
      </w:r>
    </w:p>
    <w:p w14:paraId="112E9B8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26.1招标工程的合同价款由发包人承包人依据中标通知书中的中标价格在协议书内约定。非招标工程的合同价款由发包人承包人依据双方确认的工程预算书在协议书内约定。</w:t>
      </w:r>
    </w:p>
    <w:p w14:paraId="1824F25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26.2合同价款在协议书内约定后，任何一方不得擅自改变。下列三种确定合同价款的方式，双方可在专用条款内约定采用其中一种：</w:t>
      </w:r>
    </w:p>
    <w:p w14:paraId="510F699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（1）固定总价合同。合同工期较短且工程合同总价较低的工程，可以采用固定总价合同方式。</w:t>
      </w:r>
    </w:p>
    <w:p w14:paraId="32D197D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28237AD">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（3）可调价格合同。可调价格包括可调综合单价和措施项目费用等，双方应在专用条款内约定综合单价和措施项目费的调整方法。</w:t>
      </w:r>
    </w:p>
    <w:p w14:paraId="387CF08F">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27、合同价款调整</w:t>
      </w:r>
    </w:p>
    <w:p w14:paraId="3BC0B3B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27.1价格中工程量、综合单价、措施项目费用的调整因素包括：</w:t>
      </w:r>
    </w:p>
    <w:p w14:paraId="20CAE47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（1）法律、行政法规和国家有关政策变化影响合同价款；</w:t>
      </w:r>
    </w:p>
    <w:p w14:paraId="5D6A6AE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（2）工程造价管理机构的价格调整；</w:t>
      </w:r>
    </w:p>
    <w:p w14:paraId="575CAB11">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（3）经批准的设计变更；</w:t>
      </w:r>
    </w:p>
    <w:p w14:paraId="7143A65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（4）发包人更改经审定批准的施工组织设计（修正错误除外）造成费用变化；</w:t>
      </w:r>
    </w:p>
    <w:p w14:paraId="2E3C5D8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（5）工程量清单的工程数量与实际工程量不符，按实际工程量进行调整计算；</w:t>
      </w:r>
    </w:p>
    <w:p w14:paraId="70D8E0D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（6）费用索赔事件或发包人负责的其他情况；</w:t>
      </w:r>
    </w:p>
    <w:p w14:paraId="7EE532A2">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（7）双方在专用条款中约定的其他因素。</w:t>
      </w:r>
    </w:p>
    <w:p w14:paraId="72A47D3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2AD4B0A">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28、工程预付款</w:t>
      </w:r>
    </w:p>
    <w:p w14:paraId="2C96F0D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9779866">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28.2安全防护和文明施工措施费应在专用条款中约定预付方式。合同工期在一年以内的，预付比例不得低于总额的70%；合同工期在一年以上的（含一年），预付比例不得低于总额的50%。</w:t>
      </w:r>
    </w:p>
    <w:p w14:paraId="34AA85A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29、已完工程量确认</w:t>
      </w:r>
    </w:p>
    <w:p w14:paraId="2442A76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0B4B09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49BBE63">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29.3对承包人超出设计图纸（含设计变更）范围和因承包人原因造成返工的工程量，工程师不予计量。</w:t>
      </w:r>
    </w:p>
    <w:p w14:paraId="3FD35675">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30、工程进度款结算与支付</w:t>
      </w:r>
    </w:p>
    <w:p w14:paraId="1D267D74">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30.1　双方应在专用条款内约定工程进度款结算支付方式。结算支付方式分为按月结算支付与分阶段结算支付。</w:t>
      </w:r>
    </w:p>
    <w:p w14:paraId="718B29B8">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30.2在确认计量结果后14天内，发包人应向承包人支付不低于应付款额75%、不高于应付款额90%的工程进度款。按约定时间发包人应扣回的预付款，与工程进度款同期结算抵扣。</w:t>
      </w:r>
    </w:p>
    <w:p w14:paraId="7D5C7EC1">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30.3本通用条款第27条确定调整的合同价款，第35条工程变更调整的合同价款及其他条款中约定的追加合同价款，应与工程进度款同期调整支付。</w:t>
      </w:r>
    </w:p>
    <w:p w14:paraId="50F46877">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DBCB830">
      <w:pPr>
        <w:widowControl/>
        <w:spacing w:line="360" w:lineRule="auto"/>
        <w:ind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30.5发包人不按合同约定支付工程进度款，双方又未达成延期付款协议，导致施工无法进行，承包人可停止施工，由发包人承担违约责任。</w:t>
      </w:r>
    </w:p>
    <w:p w14:paraId="25A664CB">
      <w:pPr>
        <w:widowControl/>
        <w:spacing w:line="360" w:lineRule="auto"/>
        <w:ind w:firstLine="422" w:firstLineChars="200"/>
        <w:outlineLvl w:val="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七、材料设备供应</w:t>
      </w:r>
    </w:p>
    <w:p w14:paraId="36F4D3F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31、发包人供应材料设备</w:t>
      </w:r>
    </w:p>
    <w:p w14:paraId="5432153E">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386F820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361B746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1A884F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31.4发包人供应的材料设备与一览表不符时，发包人承担有关责任。发包人应承担责任的具体内容，双方根据下列情况在专用条款内约定：</w:t>
      </w:r>
    </w:p>
    <w:p w14:paraId="0642A84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（1）材料设备单价与一览表不符，由发包人承担所有价差；</w:t>
      </w:r>
    </w:p>
    <w:p w14:paraId="4F01250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（2）材料设备的品种、规格、型号、质量等级与一览表不符，承包人可拒绝接收保管，由发包人运出施工场地并重新采购；</w:t>
      </w:r>
    </w:p>
    <w:p w14:paraId="0B8DA08D">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（3）发包人供应的材料规格、型号与一览表不符，经发包人同意，承包人可代为调剂串换，由发包人承担相应费用；</w:t>
      </w:r>
    </w:p>
    <w:p w14:paraId="3303104D">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（4）到货地点与一览表不符，由发包人负责运至一览表指定地点；</w:t>
      </w:r>
    </w:p>
    <w:p w14:paraId="69F6214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（5）供应数量少于一览表约定的数量时，由发包人补齐，多于一览表约定数量时，发包人负责将多出部分运出施工场地；</w:t>
      </w:r>
    </w:p>
    <w:p w14:paraId="05D43D8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（6）到货时间早于一览表约定时间，由发包人承担因此发生的保管费用；到货时间迟于一览表约定的供应时间，发包人赔偿由此造成的承包人损失，造成工期延误的，相应顺延工期；</w:t>
      </w:r>
    </w:p>
    <w:p w14:paraId="4BAAFB8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31.5发包人供应的材料设备使用前，由承包人负责检验或试验，不合格的不得使用，检验或试验费用由发包人承担。</w:t>
      </w:r>
    </w:p>
    <w:p w14:paraId="41191F2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31.6发包人供应材料设备的结算方法，双方在专用条款内约定。</w:t>
      </w:r>
    </w:p>
    <w:p w14:paraId="6117F95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32、承包人采购材料设备</w:t>
      </w:r>
    </w:p>
    <w:p w14:paraId="4D8AB55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32.1承包人负责采购材料设备的，应按照专用条款约定及设计和有关标准要求采购，并提供产品合格证明，对材料设备质量负责。承包人在材料设备到货前24小时通知工程师清点。</w:t>
      </w:r>
    </w:p>
    <w:p w14:paraId="2A63ACF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32.2承包人采购的材料设备与设计标准要求不符时，承包人应按工程师要求的时间运出施工场地，重新采购符合要求的产品，承担由此发生的费用，由此延误的工期不予顺延。</w:t>
      </w:r>
    </w:p>
    <w:p w14:paraId="43C02E5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32.3承包人采购的材料设备在使用前，承包人应按工程师的要求进行检验或试验，不合格的不得使用，检验或试验费用由承包人承担。</w:t>
      </w:r>
    </w:p>
    <w:p w14:paraId="3036580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32.4工程师发现承包人采购并使用不符合设计和标准要求的材料设备时，应要求承包人负责修复、拆除或重新采购，由承包人承担发生的费用，由此延误的工期不予顺延。</w:t>
      </w:r>
    </w:p>
    <w:p w14:paraId="1E3DD30C">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32.5承包人需要使用代用材料时，应经工程师认可后才能使用，由此增减的合同价款双方以书面形式议定。</w:t>
      </w:r>
    </w:p>
    <w:p w14:paraId="47A90C87">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32.6由承包人采购的材料设备，发包人不得指定生产厂或供应商。</w:t>
      </w:r>
    </w:p>
    <w:p w14:paraId="092BB9FF">
      <w:pPr>
        <w:widowControl/>
        <w:spacing w:line="360" w:lineRule="auto"/>
        <w:ind w:firstLine="422" w:firstLineChars="20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八、工程变更</w:t>
      </w:r>
    </w:p>
    <w:p w14:paraId="37AA03D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33、工程设计变更</w:t>
      </w:r>
    </w:p>
    <w:p w14:paraId="59485CA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53CD10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（1）更改工程有关部分的标高、基线、位置和尺寸；</w:t>
      </w:r>
    </w:p>
    <w:p w14:paraId="467ED8BC">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（2）增减合同中约定的工程量；</w:t>
      </w:r>
    </w:p>
    <w:p w14:paraId="3DE97CB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（3）改变有关工程的施工时间和顺序；</w:t>
      </w:r>
    </w:p>
    <w:p w14:paraId="480FE29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（4）其他有关工程变更需要的附加工作。</w:t>
      </w:r>
    </w:p>
    <w:p w14:paraId="2FEF3BC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因变更导致合同价款的增减及造成的承包人损失，由发包人承担，延误的工期相应顺延。</w:t>
      </w:r>
    </w:p>
    <w:p w14:paraId="44BD3DE4">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33.2施工中承包人不得对原工程设计进行变更。因承包人擅自变更设计发生的费用和由此导致发包人的直接损失，由承包人承担，延误的工期不予顺延。</w:t>
      </w:r>
    </w:p>
    <w:p w14:paraId="77A680E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5974B9F4">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34、其他变更</w:t>
      </w:r>
    </w:p>
    <w:p w14:paraId="7A3C4534">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合同履行中发包人要求变更工程质量标准及发生其他实质性变更，由双方协商解决。</w:t>
      </w:r>
    </w:p>
    <w:p w14:paraId="72C6CD94">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35、确定变更价款</w:t>
      </w:r>
    </w:p>
    <w:p w14:paraId="1AF3335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35.1承包人在工程变更确定后14天内，提出变更工程价款的报告，经工程师确认后调整合同价款。变更合同价款按下列方法进行：</w:t>
      </w:r>
    </w:p>
    <w:p w14:paraId="48171B3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（1）合同中已有适用于变更工程的综合单价或价格，按合同已有的综合单价或价格变更合同价款；</w:t>
      </w:r>
    </w:p>
    <w:p w14:paraId="3DA47A90">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（2）合同中只有类似于变更工程的综合单价或价格，可以参照类似综合单价或价格变更合同价款；</w:t>
      </w:r>
    </w:p>
    <w:p w14:paraId="3B2E5F5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（3）合同中没有适用或类似于变更工程的综合单价或价格，由承包人或发包人提出综合单价或价格，经双方确认后执行。</w:t>
      </w:r>
    </w:p>
    <w:p w14:paraId="135C8C1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35.2承包人在双方确定变更后14天内应向工程师提出变更工程价款报告，否则发包人可根据所掌握的资料决定是否调整合同价款和调整的具体金额，并书面通知承包人。</w:t>
      </w:r>
    </w:p>
    <w:p w14:paraId="4C2D469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35.3工程师应在收到变更工程价款报告之日起14天内予以确认，工程师无正当理由不确认也未提出协商意见时，自变更工程价款报告送达之日起14天后视为变更工程价款报告已被确认。</w:t>
      </w:r>
    </w:p>
    <w:p w14:paraId="1F12E97C">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35.4发承包双方对变更价款不能达成一致时，按本通用条款第41条关于争议的约定处理。</w:t>
      </w:r>
    </w:p>
    <w:p w14:paraId="57ECB5EC">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35.5因承包人自身原因导致的工程变更，承包人无权要求追加合同价款。</w:t>
      </w:r>
    </w:p>
    <w:p w14:paraId="7B39D5A4">
      <w:pPr>
        <w:widowControl/>
        <w:spacing w:line="360" w:lineRule="auto"/>
        <w:ind w:firstLine="422" w:firstLineChars="20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九、竣工验收与结算</w:t>
      </w:r>
    </w:p>
    <w:p w14:paraId="4B030100">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36、竣工验收</w:t>
      </w:r>
    </w:p>
    <w:p w14:paraId="5A59090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097E481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36.2发包人收到竣工验收报告后28天内组织有关单位验收，并在验收后14天内给予认可或提出修改意见。承包人按要求修改，并承担由自身原因造成修改的费用。</w:t>
      </w:r>
    </w:p>
    <w:p w14:paraId="2F646C59">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36.3发包人收到承包人送交的竣工验收报告后28天内不组织验收，或验收后14天内不提出修改意见，视为竣工验收报告已被认可。</w:t>
      </w:r>
    </w:p>
    <w:p w14:paraId="05CE8D90">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36.4工程竣工验收通过，承包人送交竣工验收报告的日期为实际竣工日期。工程按发包人要求修改后通过竣工验收的，实际竣工日期为承包人修改后提请发包人验收的日期。</w:t>
      </w:r>
    </w:p>
    <w:p w14:paraId="7DCFC2A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36.5发包人收到承包人竣工验收报告后28天内不组织验收，从第29天起承担工程保管及一切意外责任。</w:t>
      </w:r>
    </w:p>
    <w:p w14:paraId="2A15EB8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36.6中间交工工程的范围和竣工时间，双方在专用条款内约定，其验收程序按本通用条款36.1款至36.4款办理。</w:t>
      </w:r>
    </w:p>
    <w:p w14:paraId="24F68D9D">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36.7因特殊原因，发包人要求部分单位工程或工程部位甩项竣工的，双方另行签订甩项竣工协议，明确双方责任和工程价款的支付方法。</w:t>
      </w:r>
    </w:p>
    <w:p w14:paraId="07FD988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36.8工程未经竣工验收或竣工验收未通过的，发包人不得使用。发包人强行使用时，由此发生的质量及其他问题，由发包人承担责任。</w:t>
      </w:r>
    </w:p>
    <w:p w14:paraId="0F32790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37、竣工结算</w:t>
      </w:r>
    </w:p>
    <w:p w14:paraId="0E66D0D0">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37.1工程竣工结算分为单位工程竣工结算、单项工程竣工结算和建设项目竣工总结算。</w:t>
      </w:r>
    </w:p>
    <w:p w14:paraId="051CE8B0">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C0484F4">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建设项目总结算在最后一个单项工程竣工结算审查确认后，一般在15天以内向发包人提交竣工结算汇总资料。</w:t>
      </w:r>
    </w:p>
    <w:p w14:paraId="3685F5C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5AF8BFE">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37.4承包人收到竣工结算价款后14天内将竣工工程交付发包人。</w:t>
      </w:r>
    </w:p>
    <w:p w14:paraId="788B4FF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37.5发包人收到承包人建设项目竣工总结算汇总资料后30天内，审查完成。</w:t>
      </w:r>
    </w:p>
    <w:p w14:paraId="6373E444">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37.6发包人收到竣工结算报告及结算资料后，在本条规定期限内对结算报告及资料没有提出意见则视同认可。</w:t>
      </w:r>
    </w:p>
    <w:p w14:paraId="0078733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6A2503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243C36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37.9发包人承包人对工程竣工结算价款发生争议时，按本通用条款第41条关于争议的约定处理。</w:t>
      </w:r>
    </w:p>
    <w:p w14:paraId="4A37625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38、质量保证</w:t>
      </w:r>
    </w:p>
    <w:p w14:paraId="330200A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38.1承包人应按法律、行政法规或国家关于工程质量保修的有关规定，对交付发包人使用的工程在质量保修期内承担质量保修责任。</w:t>
      </w:r>
    </w:p>
    <w:p w14:paraId="2685BB2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38.2质量保修工作的实施。承包人与发包人签订质量保修书，作为本合同附件（附件３）。发包人应明确保证金预留、返还等内容，并与承包人在合同条款中对涉及保证金的下列事项进行约定：</w:t>
      </w:r>
    </w:p>
    <w:p w14:paraId="0E9FAD4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（1）保证金预留、返还方式；</w:t>
      </w:r>
    </w:p>
    <w:p w14:paraId="0F3FCA0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（2）保证金预留比例、期限；</w:t>
      </w:r>
    </w:p>
    <w:p w14:paraId="036E0DA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（3）保证金是否计付利息，如计利息，利息的计算方式；</w:t>
      </w:r>
    </w:p>
    <w:p w14:paraId="71BED15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（4）缺陷责任期的期限及计算方式；</w:t>
      </w:r>
    </w:p>
    <w:p w14:paraId="2F1B6B3D">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（5）保证金预留、返还及工程维修质量、费用等争议的处理程序；</w:t>
      </w:r>
    </w:p>
    <w:p w14:paraId="631B5EC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（6）缺陷责任期内出现缺陷的索赔方式。</w:t>
      </w:r>
    </w:p>
    <w:p w14:paraId="6C1584F0">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38.3质量保修书的主要内容包括：</w:t>
      </w:r>
    </w:p>
    <w:p w14:paraId="626DE26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（1）质量保修项目内容及范围；</w:t>
      </w:r>
    </w:p>
    <w:p w14:paraId="6FD15DB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（2）质量保修期；</w:t>
      </w:r>
    </w:p>
    <w:p w14:paraId="214D5CD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（3）质量保修责任；</w:t>
      </w:r>
    </w:p>
    <w:p w14:paraId="688660C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（4）质量保修金的支付方法。</w:t>
      </w:r>
    </w:p>
    <w:p w14:paraId="023D24C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38.4质量保证金按工程价款结算总额5%以内的比例预留。</w:t>
      </w:r>
    </w:p>
    <w:p w14:paraId="374FF36C">
      <w:pPr>
        <w:widowControl/>
        <w:spacing w:line="360" w:lineRule="auto"/>
        <w:ind w:firstLine="422" w:firstLineChars="20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十、违约、索赔和争议</w:t>
      </w:r>
    </w:p>
    <w:p w14:paraId="43E4B33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39、违约</w:t>
      </w:r>
    </w:p>
    <w:p w14:paraId="2ED9F12C">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39.1发包人违约。当发生下列情况时：</w:t>
      </w:r>
    </w:p>
    <w:p w14:paraId="2A6D84AE">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（1）本通用条款第28.1款提到的发包人不按时支付工程预付款；</w:t>
      </w:r>
    </w:p>
    <w:p w14:paraId="1609178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（2）本通用条款第30.5款提到的发包人不按合同约定支付工程款，导致施工无法进行；</w:t>
      </w:r>
    </w:p>
    <w:p w14:paraId="50F8F5D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（3）本通用条款第37.6款提到的发包人无正当理由不支付工程竣工结算价款；</w:t>
      </w:r>
    </w:p>
    <w:p w14:paraId="255AD9E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（4）发包人不履行合同义务或不按合同约定履行义务的其他情况。</w:t>
      </w:r>
    </w:p>
    <w:p w14:paraId="4BBAEC69">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0B02CBC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39.2承包人违约。当发生下列情况时：</w:t>
      </w:r>
    </w:p>
    <w:p w14:paraId="206C47F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（1）本通用条款第14.2款提到的因承包人原因不能按照协议书约定的竣工日期或工程师同意顺延的工期竣工；</w:t>
      </w:r>
    </w:p>
    <w:p w14:paraId="442705F9">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（2）本通用条款第15.1款提到的因承包人原因工程质量达不到协议书约定的质量标准；</w:t>
      </w:r>
    </w:p>
    <w:p w14:paraId="40B0AE5E">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（3）承包人不履行合同义务或不按合同约定履行义务的其他情况。</w:t>
      </w:r>
    </w:p>
    <w:p w14:paraId="25FDEF2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承包人承担违约责任，赔偿因其违约给发包人造成的损失。双方在专用条款内约定承包人赔偿发包人损失的计算方法或者承包人应当支付违约金的数额和计算方法。</w:t>
      </w:r>
    </w:p>
    <w:p w14:paraId="1DA6F4C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39.3一方违约后，另一方要求违约方继续履行合同时，违约方承担上述违约责任后仍应继续履行合同。</w:t>
      </w:r>
    </w:p>
    <w:p w14:paraId="43C7A5C4">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40、索赔</w:t>
      </w:r>
    </w:p>
    <w:p w14:paraId="07CDB8A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40.1当一方向另一方提出索赔时，要有正当索赔理由，且有索赔事件发生时的有效证据。</w:t>
      </w:r>
    </w:p>
    <w:p w14:paraId="7CE5CE8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C29E12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（1）索赔事件发生后28天内，向工程师发出索赔意向通知；</w:t>
      </w:r>
    </w:p>
    <w:p w14:paraId="6E655FE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（2）发出索赔意向通知后28天内，向工程师提出延长工期和（或）补偿经济损失的索赔报告及有关资料；</w:t>
      </w:r>
    </w:p>
    <w:p w14:paraId="10DB7BB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（3）工程师在收到承包人送交的索赔报告和有关资料后，于28天内给予答复，或要求承包人进一步补充索赔理由和证据；</w:t>
      </w:r>
    </w:p>
    <w:p w14:paraId="3D0AEE5E">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（4）工程师在收到承包人送交的索赔报告和有关资料后28天内未予答复或未对承包人作进一步要求，视为该项索赔已经认可；</w:t>
      </w:r>
    </w:p>
    <w:p w14:paraId="2FCEF64D">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（5）当该索赔事件持续进行时，承包人应当阶段性向工程师发出索赔意向，在索赔事件终了后28天内，向工程师送交索赔的有关资料和最终索赔报告。索赔答复程序与（3）、（4）规定相同。</w:t>
      </w:r>
    </w:p>
    <w:p w14:paraId="0920938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40.3承包人未能按合同约定履行自己的各项义务或发生错误，给发包人造成经济损失，发包人可按40.2款确定的时限向承包人提出索赔。</w:t>
      </w:r>
    </w:p>
    <w:p w14:paraId="58B08129">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41、争议</w:t>
      </w:r>
    </w:p>
    <w:p w14:paraId="71DFF46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4A4E8B9">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41.2发生争议后，除非出现下列情况的，双方都应继续履行合同，保持施工连续，保护好已完工程：</w:t>
      </w:r>
    </w:p>
    <w:p w14:paraId="3BD794A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（1）单方违约导致合同确已无法履行，双方协议停止施工；</w:t>
      </w:r>
    </w:p>
    <w:p w14:paraId="5187AAC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（2）调解要求停止施工，且为双方接受；</w:t>
      </w:r>
    </w:p>
    <w:p w14:paraId="397542A4">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（3）仲裁机构要求停止施工；</w:t>
      </w:r>
    </w:p>
    <w:p w14:paraId="636B2DE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（4）法院要求停止施工。</w:t>
      </w:r>
    </w:p>
    <w:p w14:paraId="295819D5">
      <w:pPr>
        <w:widowControl/>
        <w:spacing w:line="360" w:lineRule="auto"/>
        <w:ind w:firstLine="422" w:firstLineChars="200"/>
        <w:rPr>
          <w:rFonts w:hint="eastAsia" w:ascii="仿宋" w:hAnsi="仿宋" w:eastAsia="仿宋" w:cs="仿宋"/>
          <w:b/>
          <w:kern w:val="0"/>
          <w:sz w:val="21"/>
          <w:szCs w:val="21"/>
          <w:highlight w:val="none"/>
        </w:rPr>
      </w:pPr>
      <w:r>
        <w:rPr>
          <w:rFonts w:hint="eastAsia" w:ascii="仿宋" w:hAnsi="仿宋" w:eastAsia="仿宋" w:cs="仿宋"/>
          <w:b/>
          <w:kern w:val="0"/>
          <w:sz w:val="21"/>
          <w:szCs w:val="21"/>
          <w:highlight w:val="none"/>
        </w:rPr>
        <w:t>十一、其他</w:t>
      </w:r>
    </w:p>
    <w:p w14:paraId="5CB6C270">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42、工程分包</w:t>
      </w:r>
    </w:p>
    <w:p w14:paraId="15BE528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42.1承包人需要将专业工程或劳务进行分包的，应分包给具有相应资质的专业或劳务企业，并与分包企业签订分包合同。</w:t>
      </w:r>
    </w:p>
    <w:p w14:paraId="7239D32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42.2承包人不得将其承包的工程转包给他人，也不得将其承包的工程以分包的名义转包给他人。</w:t>
      </w:r>
    </w:p>
    <w:p w14:paraId="3100810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0A309A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42.4分包工程价款由承包人与分包单位结算。发包人未经承包人同意不得以任何形式向分包单位支付各种工程款项。</w:t>
      </w:r>
    </w:p>
    <w:p w14:paraId="647E140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42.5承包人应按时支付分包工程款及劳务费。若承包人不能按时支付时，发包人可将此部分款项从向承包人支付的工程款中扣出并直接支付给分包人和劳务人员。</w:t>
      </w:r>
    </w:p>
    <w:p w14:paraId="57244F4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43、不可抗力</w:t>
      </w:r>
    </w:p>
    <w:p w14:paraId="3853DA8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43.1不可抗力包括因战争、动乱、空中飞行物体坠落或其他非发包人承包人责任造成的爆炸、火灾，以及专用条款约定的风、雨、雪、洪、震等自然灾害。</w:t>
      </w:r>
    </w:p>
    <w:p w14:paraId="27A86D1C">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EEC2D7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43.3因不可抗力事件导致的费用及延误的工期由双方按以下方法分别承担：</w:t>
      </w:r>
    </w:p>
    <w:p w14:paraId="1E5A878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（1）工程本身的损害、因工程损害导致第三人人员伤亡和财产损失以及运至施工场地用于施工的材料和待安装的设备的损害，由发包人承担；</w:t>
      </w:r>
    </w:p>
    <w:p w14:paraId="195F16B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（2）发包人承包人人员伤亡由其所在单位负责，并承担相应费用；</w:t>
      </w:r>
    </w:p>
    <w:p w14:paraId="1F2DC73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（3）承包人机械设备损坏及停工损失，由承包人承担；</w:t>
      </w:r>
    </w:p>
    <w:p w14:paraId="567C526D">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（4）停工期间，承包人应工程师要求留在施工场地的必要的管理人员及保卫人员的费用由发包人承担；</w:t>
      </w:r>
    </w:p>
    <w:p w14:paraId="6F5607A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（5）工程所需清理、修复费用，由发包人承担；</w:t>
      </w:r>
    </w:p>
    <w:p w14:paraId="3F1DD6D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（6）延误的工期相应顺延。</w:t>
      </w:r>
    </w:p>
    <w:p w14:paraId="643EC55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43.4因合同一方迟延履行合同后发生不可抗力的，不能免除迟延履行方的相应责任。</w:t>
      </w:r>
    </w:p>
    <w:p w14:paraId="52EDA05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44、保险</w:t>
      </w:r>
    </w:p>
    <w:p w14:paraId="6804636A">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44.1工程开工前，发包人为建设工程和施工现场内的自有人员及第三人人员生命财产办理保险，支付保险费用。</w:t>
      </w:r>
    </w:p>
    <w:p w14:paraId="2E7F59BE">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44.2发包人供应的运至施工场地内用于工程的材料设备，由发包人办理保险，并支付保险费用。</w:t>
      </w:r>
    </w:p>
    <w:p w14:paraId="05D604DA">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44.3发包人可以将有关保险事项委托承包人办理，费用由发包人承担。</w:t>
      </w:r>
    </w:p>
    <w:p w14:paraId="45A922B7">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44.4承包人必须为施工场地内施工人员办理意外伤害保险和工伤保险，并为施工场地内的施工机械设备办理财产保险，支付保险费用。</w:t>
      </w:r>
    </w:p>
    <w:p w14:paraId="21027CA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44.5保险事故发生时，发包人承包人有责任尽力采取必要的措施，防止或者减少损失。</w:t>
      </w:r>
    </w:p>
    <w:p w14:paraId="690092BD">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44.6具体投保内容和相关责任，发包人承包人在专用条款中约定。</w:t>
      </w:r>
    </w:p>
    <w:p w14:paraId="418A8D8D">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45、担保</w:t>
      </w:r>
    </w:p>
    <w:p w14:paraId="0C2EC2A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45.1发包人承包人为了全面履行合同，应互相提供以下担保：</w:t>
      </w:r>
    </w:p>
    <w:p w14:paraId="7D2CF5D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（1）发包人向承包人提供支付担保，按合同约定支付工程价款及履行合同约定的其他义务。</w:t>
      </w:r>
    </w:p>
    <w:p w14:paraId="1F39E32A">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（2）承包人向发包人提供履约担保，按合同约定履行自己的各项义务。</w:t>
      </w:r>
    </w:p>
    <w:p w14:paraId="77CBBC2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45.2一方违约后，另一方可要求提供担保的第三人承担相应责任。</w:t>
      </w:r>
    </w:p>
    <w:p w14:paraId="46ECC6D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45.3提供担保的内容、方式和相关责任，发包人承包人除在专用条款中约定外，被担保方与担保方还应签订担保合同，作为本合同附件。</w:t>
      </w:r>
    </w:p>
    <w:p w14:paraId="318A06A3">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46、专利技术及特殊工艺</w:t>
      </w:r>
    </w:p>
    <w:p w14:paraId="6FDEF4F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71DB6C8A">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46.2擅自使用专利技术侵犯他人专利权的，责任者依法承担相应责任。</w:t>
      </w:r>
    </w:p>
    <w:p w14:paraId="7947370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47、文物和地下障碍物</w:t>
      </w:r>
    </w:p>
    <w:p w14:paraId="49D7E5DE">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E0B9C47">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如发现后隐瞒不报，致使文物遭受破坏，责任者依法承担相应责任。</w:t>
      </w:r>
    </w:p>
    <w:p w14:paraId="0A14B41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12C3FBF">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所发现的地下障碍物有归属单位时，发包人应报请有关部门协同处置。</w:t>
      </w:r>
    </w:p>
    <w:p w14:paraId="12D1D059">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48、合同解除</w:t>
      </w:r>
    </w:p>
    <w:p w14:paraId="5899765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48.1发包人承包人协商一致，可以解除合同。</w:t>
      </w:r>
    </w:p>
    <w:p w14:paraId="67C4E70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48.2发生本通用条款第30.5款情况，停止施工超过56天，发包人仍不支付工程款（进度款），承包人有权解除合同。</w:t>
      </w:r>
    </w:p>
    <w:p w14:paraId="66F6425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48.3发生本通用条款第42.2款禁止的情况，发包人有权解除合同。</w:t>
      </w:r>
    </w:p>
    <w:p w14:paraId="2AB8C371">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48.4有下列情形之一的，发包人承包人可以解除合同：</w:t>
      </w:r>
    </w:p>
    <w:p w14:paraId="31D7CEB9">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（1）因不可抗力致使合同无法履行；</w:t>
      </w:r>
    </w:p>
    <w:p w14:paraId="193FD097">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（2）因一方违约（包括因发包人原因造成工程停建或缓建）致使合同无法履行。</w:t>
      </w:r>
    </w:p>
    <w:p w14:paraId="38FE83A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C0F32EA">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81ACE80">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48.7合同解除后，不影响双方在合同中约定的结算和清理条款的效力。</w:t>
      </w:r>
    </w:p>
    <w:p w14:paraId="25EB4A76">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49、合同生效与终止</w:t>
      </w:r>
    </w:p>
    <w:p w14:paraId="24924A6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49.1双方在协议书中约定合同生效方式。</w:t>
      </w:r>
    </w:p>
    <w:p w14:paraId="547E4668">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49.2除本通用条款第38条外，发包人承包人履行合同全部义务，竣工结算价款支付完毕，承包人向发包人交付竣工工程后，本合同即告终止。</w:t>
      </w:r>
    </w:p>
    <w:p w14:paraId="65F33155">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49.3合同的权利义务终止后，发包人承包人应当遵循诚实信用原则，履行通知、协助、保密等义务。</w:t>
      </w:r>
    </w:p>
    <w:p w14:paraId="7636B307">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50、合同份数</w:t>
      </w:r>
    </w:p>
    <w:p w14:paraId="5009BB8B">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50.1本合同正本两份，具有同等效力，由发包人承包人分别保存一份。</w:t>
      </w:r>
    </w:p>
    <w:p w14:paraId="3A7FB0AC">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50.2本合同副本份数，由双方根据需要在专用条款内约定。</w:t>
      </w:r>
    </w:p>
    <w:p w14:paraId="0D3A1F12">
      <w:pPr>
        <w:widowControl/>
        <w:spacing w:line="360" w:lineRule="auto"/>
        <w:ind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51、补充条款</w:t>
      </w:r>
    </w:p>
    <w:p w14:paraId="2BD7BFEA">
      <w:pPr>
        <w:rPr>
          <w:rFonts w:hint="eastAsia" w:ascii="仿宋" w:hAnsi="仿宋" w:eastAsia="仿宋" w:cs="仿宋"/>
          <w:color w:val="auto"/>
          <w:sz w:val="21"/>
          <w:szCs w:val="21"/>
          <w:highlight w:val="none"/>
        </w:rPr>
      </w:pPr>
      <w:r>
        <w:rPr>
          <w:rFonts w:hint="eastAsia" w:ascii="仿宋" w:hAnsi="仿宋" w:eastAsia="仿宋" w:cs="仿宋"/>
          <w:kern w:val="0"/>
          <w:sz w:val="21"/>
          <w:szCs w:val="21"/>
          <w:highlight w:val="none"/>
        </w:rPr>
        <w:t>双方根据有关法律、行政法规规定，结合工程实际经协商一致后，可对本通用条款内容具体化、补充或修改，在专用条款内约定。</w:t>
      </w:r>
    </w:p>
    <w:p w14:paraId="3421CB4B">
      <w:pPr>
        <w:rPr>
          <w:rFonts w:hint="eastAsia" w:ascii="仿宋" w:hAnsi="仿宋" w:eastAsia="仿宋"/>
          <w:color w:val="auto"/>
          <w:szCs w:val="28"/>
          <w:highlight w:val="none"/>
        </w:rPr>
      </w:pPr>
      <w:r>
        <w:rPr>
          <w:rFonts w:hint="eastAsia" w:ascii="仿宋" w:hAnsi="仿宋" w:eastAsia="仿宋"/>
          <w:color w:val="auto"/>
          <w:szCs w:val="28"/>
          <w:highlight w:val="none"/>
        </w:rPr>
        <w:br w:type="page"/>
      </w:r>
    </w:p>
    <w:p w14:paraId="01285AF6">
      <w:pPr>
        <w:rPr>
          <w:highlight w:val="none"/>
        </w:rPr>
      </w:pPr>
    </w:p>
    <w:p w14:paraId="3D01704B">
      <w:pPr>
        <w:pStyle w:val="2"/>
        <w:tabs>
          <w:tab w:val="left" w:pos="3780"/>
        </w:tabs>
        <w:jc w:val="center"/>
        <w:rPr>
          <w:rFonts w:ascii="仿宋" w:hAnsi="仿宋" w:eastAsia="仿宋"/>
          <w:color w:val="auto"/>
          <w:szCs w:val="20"/>
          <w:highlight w:val="none"/>
        </w:rPr>
      </w:pPr>
      <w:bookmarkStart w:id="5" w:name="_Toc108711484"/>
      <w:bookmarkStart w:id="6" w:name="_Toc342748411"/>
      <w:bookmarkStart w:id="7" w:name="_Toc55665151"/>
      <w:r>
        <w:rPr>
          <w:rFonts w:hint="eastAsia" w:ascii="仿宋" w:hAnsi="仿宋" w:eastAsia="仿宋"/>
          <w:color w:val="auto"/>
          <w:highlight w:val="none"/>
        </w:rPr>
        <w:t>专用条款</w:t>
      </w:r>
      <w:bookmarkEnd w:id="5"/>
      <w:bookmarkEnd w:id="6"/>
      <w:bookmarkEnd w:id="7"/>
    </w:p>
    <w:p w14:paraId="6803A030">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一、词语定义及合同文件</w:t>
      </w:r>
    </w:p>
    <w:p w14:paraId="10E271DA">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2、合同文件及解释顺序</w:t>
      </w:r>
    </w:p>
    <w:p w14:paraId="3F7662F8">
      <w:pPr>
        <w:adjustRightInd w:val="0"/>
        <w:snapToGrid w:val="0"/>
        <w:spacing w:line="360" w:lineRule="auto"/>
        <w:ind w:firstLine="420" w:firstLineChars="200"/>
        <w:jc w:val="left"/>
        <w:rPr>
          <w:rFonts w:ascii="仿宋" w:hAnsi="仿宋" w:eastAsia="仿宋"/>
          <w:color w:val="auto"/>
          <w:kern w:val="0"/>
          <w:szCs w:val="21"/>
          <w:highlight w:val="none"/>
        </w:rPr>
      </w:pPr>
      <w:r>
        <w:rPr>
          <w:rFonts w:hint="eastAsia" w:ascii="仿宋" w:hAnsi="仿宋" w:eastAsia="仿宋"/>
          <w:color w:val="auto"/>
          <w:kern w:val="0"/>
          <w:szCs w:val="21"/>
          <w:highlight w:val="none"/>
        </w:rPr>
        <w:t>合同文件组成及解释顺序：</w:t>
      </w:r>
    </w:p>
    <w:p w14:paraId="14F2F3CC">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① 本合同协议书及附件(含合同磋商中澄清文件)；</w:t>
      </w:r>
    </w:p>
    <w:p w14:paraId="0BD1F05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② 合同专用条款(含数据表和答疑纪要中与此有关的部分)；</w:t>
      </w:r>
    </w:p>
    <w:p w14:paraId="0AFDA14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③ 本合同通用条款；</w:t>
      </w:r>
    </w:p>
    <w:p w14:paraId="6BB7DF4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④ 成交通知书；</w:t>
      </w:r>
    </w:p>
    <w:p w14:paraId="04899B2B">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⑤ 磋商文件(含答疑纪要、工程量清单与此有关的部分)；</w:t>
      </w:r>
    </w:p>
    <w:p w14:paraId="5476290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⑥ 磋商响应函及磋商响应函附录(含承包人在评审期间递交和确认并经发包人同意的对有关问题的补充资料和澄清文件等)；</w:t>
      </w:r>
    </w:p>
    <w:p w14:paraId="65113FA7">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⑦ 图纸；</w:t>
      </w:r>
    </w:p>
    <w:p w14:paraId="4F57F0AC">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⑧ 标准、规范及有关技术文件；</w:t>
      </w:r>
    </w:p>
    <w:p w14:paraId="1A24D098">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⑨ 合同履行中，发包人承包人有关工程的洽商、变更等书面协议或文件视为本合同的组成部分，与本合同具有同等法律效力。</w:t>
      </w:r>
    </w:p>
    <w:p w14:paraId="0001F841">
      <w:pPr>
        <w:adjustRightInd w:val="0"/>
        <w:snapToGrid w:val="0"/>
        <w:spacing w:line="360" w:lineRule="auto"/>
        <w:ind w:firstLine="420" w:firstLineChars="200"/>
        <w:jc w:val="left"/>
        <w:rPr>
          <w:rFonts w:ascii="仿宋" w:hAnsi="仿宋" w:eastAsia="仿宋"/>
          <w:color w:val="auto"/>
          <w:kern w:val="0"/>
          <w:szCs w:val="21"/>
          <w:highlight w:val="none"/>
        </w:rPr>
      </w:pPr>
      <w:r>
        <w:rPr>
          <w:rFonts w:hint="eastAsia" w:ascii="仿宋" w:hAnsi="仿宋" w:eastAsia="仿宋"/>
          <w:color w:val="auto"/>
          <w:szCs w:val="21"/>
          <w:highlight w:val="none"/>
        </w:rPr>
        <w:t>上述文件互相补充和解释，如有不明确或不一致之处，以合同约定次序在先者为准。</w:t>
      </w:r>
    </w:p>
    <w:p w14:paraId="197F0FE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3、语言文字和适用法律、标准及规范</w:t>
      </w:r>
    </w:p>
    <w:p w14:paraId="3CAFF24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3.1本合同使用汉语表述。</w:t>
      </w:r>
    </w:p>
    <w:p w14:paraId="6DCD0692">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3.2适用法律和法规</w:t>
      </w:r>
    </w:p>
    <w:p w14:paraId="7B46918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需要明示的法律、行政法规：</w:t>
      </w:r>
      <w:r>
        <w:rPr>
          <w:rFonts w:hint="eastAsia" w:ascii="仿宋" w:hAnsi="仿宋" w:eastAsia="仿宋"/>
          <w:color w:val="auto"/>
          <w:szCs w:val="21"/>
          <w:highlight w:val="none"/>
          <w:u w:val="single"/>
        </w:rPr>
        <w:t>《中华人民共和国建筑法》、《中华人民共和国民法典》、《中华人民共和国招标投标法》、国务院《建设工程质量管理条例》、国务院《建设工程安全生产管理条例》、建设部《房屋建筑工程和市政基础设施工程竣工验收暂行规定》、建设部《房屋建筑工程质量保修办法》等法律、行政法规及地方性法规。</w:t>
      </w:r>
    </w:p>
    <w:p w14:paraId="5E43556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3.3适用标准、规范</w:t>
      </w:r>
    </w:p>
    <w:p w14:paraId="1A27CF75">
      <w:pPr>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适用标准、规范的名称：</w:t>
      </w:r>
    </w:p>
    <w:p w14:paraId="16BDD438">
      <w:pPr>
        <w:adjustRightInd w:val="0"/>
        <w:snapToGrid w:val="0"/>
        <w:spacing w:line="360" w:lineRule="auto"/>
        <w:ind w:firstLine="420" w:firstLineChars="200"/>
        <w:rPr>
          <w:rFonts w:ascii="仿宋" w:hAnsi="仿宋" w:eastAsia="仿宋"/>
          <w:color w:val="auto"/>
          <w:szCs w:val="21"/>
          <w:highlight w:val="none"/>
        </w:rPr>
      </w:pPr>
      <w:r>
        <w:rPr>
          <w:rFonts w:hint="eastAsia" w:ascii="仿宋" w:hAnsi="仿宋" w:eastAsia="仿宋" w:cs="宋体"/>
          <w:color w:val="auto"/>
          <w:szCs w:val="21"/>
          <w:highlight w:val="none"/>
        </w:rPr>
        <w:t>3.3.1现行国家标准、规范和建设部等有关施工技术标准、规程、规范以及本工程设计要求，陕西省和西安市有关工程质量、安全文明施工、竣工验收等规定、《建筑工程施工质量验收统一标准》等。</w:t>
      </w:r>
    </w:p>
    <w:p w14:paraId="22664E7E">
      <w:pPr>
        <w:spacing w:line="360" w:lineRule="auto"/>
        <w:ind w:firstLine="315" w:firstLineChars="150"/>
        <w:rPr>
          <w:rFonts w:ascii="仿宋" w:hAnsi="仿宋" w:eastAsia="仿宋" w:cs="宋体"/>
          <w:color w:val="auto"/>
          <w:szCs w:val="21"/>
          <w:highlight w:val="none"/>
        </w:rPr>
      </w:pPr>
      <w:r>
        <w:rPr>
          <w:rFonts w:hint="eastAsia" w:ascii="仿宋" w:hAnsi="仿宋" w:eastAsia="仿宋" w:cs="宋体"/>
          <w:color w:val="auto"/>
          <w:szCs w:val="21"/>
          <w:highlight w:val="none"/>
        </w:rPr>
        <w:t xml:space="preserve"> 3.3.2磋商及施工期间，如果有新版的规范和标准颁布，原则上应执行新版的规范和标准，仍需执行非最新版本规范和标准的，需征得发包人和监理工程师的同意。</w:t>
      </w:r>
    </w:p>
    <w:p w14:paraId="57CF3573">
      <w:pPr>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3.3.3对不在规范验评范围内项目，执行发包人和承包人双方议定的补充技术标准，本磋商文件、设计院、制造厂家的施工技术要求，如有冲突，按上述排序解释。</w:t>
      </w:r>
    </w:p>
    <w:p w14:paraId="5F15688C">
      <w:pPr>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3.3.4如遇设计与国家相关规范、标准对同一问题的处理出现互相矛盾的情况时，原则上以设计单位解释为准，同时承包人尚应及时通知发包人、监理工程师，并提出解决办法，征得发包人、设计单位、监理工程师的同意后实施。</w:t>
      </w:r>
    </w:p>
    <w:p w14:paraId="309FB62F">
      <w:pPr>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发包人提供标准、规范的时间：除施工图纸外所有标准、规范、规程及标准图集等均由承包人自备，费用承包人自理。</w:t>
      </w:r>
    </w:p>
    <w:p w14:paraId="0504F252">
      <w:pPr>
        <w:spacing w:line="360" w:lineRule="auto"/>
        <w:ind w:firstLine="420" w:firstLineChars="200"/>
        <w:rPr>
          <w:rFonts w:ascii="仿宋" w:hAnsi="仿宋" w:eastAsia="仿宋" w:cs="宋体"/>
          <w:color w:val="auto"/>
          <w:szCs w:val="21"/>
          <w:highlight w:val="none"/>
        </w:rPr>
      </w:pPr>
      <w:r>
        <w:rPr>
          <w:rFonts w:hint="eastAsia" w:ascii="仿宋" w:hAnsi="仿宋" w:eastAsia="仿宋" w:cs="宋体"/>
          <w:color w:val="auto"/>
          <w:szCs w:val="21"/>
          <w:highlight w:val="none"/>
        </w:rPr>
        <w:t>国内没有相应标准、规定的时间：凡涉及国内没有相应标准、规范、规程的，承包人应立即通知发包人及监理工程师，并提供力采用相应标准（如企业标准、国外标准等）、规范或经验做法、需要的理由和时间，由发包人与监理工程师、设计院确认方可执行、本条所发生的购买、翻译标准、规范或指定施工工艺的费用，由承包人承担。</w:t>
      </w:r>
    </w:p>
    <w:p w14:paraId="37C6EFD4">
      <w:pPr>
        <w:adjustRightInd w:val="0"/>
        <w:snapToGrid w:val="0"/>
        <w:spacing w:line="360" w:lineRule="auto"/>
        <w:ind w:firstLine="525" w:firstLineChars="250"/>
        <w:rPr>
          <w:rFonts w:ascii="仿宋" w:hAnsi="仿宋" w:eastAsia="仿宋"/>
          <w:color w:val="auto"/>
          <w:kern w:val="0"/>
          <w:szCs w:val="21"/>
          <w:highlight w:val="none"/>
        </w:rPr>
      </w:pPr>
      <w:r>
        <w:rPr>
          <w:rFonts w:hint="eastAsia" w:ascii="仿宋" w:hAnsi="仿宋" w:eastAsia="仿宋"/>
          <w:color w:val="auto"/>
          <w:kern w:val="0"/>
          <w:szCs w:val="21"/>
          <w:highlight w:val="none"/>
        </w:rPr>
        <w:t>4、图纸</w:t>
      </w:r>
    </w:p>
    <w:p w14:paraId="25D355BF">
      <w:pPr>
        <w:adjustRightInd w:val="0"/>
        <w:snapToGrid w:val="0"/>
        <w:spacing w:line="360" w:lineRule="auto"/>
        <w:ind w:firstLine="525" w:firstLineChars="250"/>
        <w:rPr>
          <w:rFonts w:ascii="仿宋" w:hAnsi="仿宋" w:eastAsia="仿宋"/>
          <w:color w:val="auto"/>
          <w:kern w:val="0"/>
          <w:szCs w:val="21"/>
          <w:highlight w:val="none"/>
        </w:rPr>
      </w:pPr>
      <w:r>
        <w:rPr>
          <w:rFonts w:hint="eastAsia" w:ascii="仿宋" w:hAnsi="仿宋" w:eastAsia="仿宋"/>
          <w:color w:val="auto"/>
          <w:kern w:val="0"/>
          <w:highlight w:val="none"/>
        </w:rPr>
        <w:t>4.1发包人向承包人提供图纸日期和套数：</w:t>
      </w:r>
      <w:r>
        <w:rPr>
          <w:rFonts w:hint="eastAsia" w:ascii="仿宋" w:hAnsi="仿宋" w:eastAsia="仿宋"/>
          <w:color w:val="auto"/>
          <w:highlight w:val="none"/>
          <w:u w:val="single"/>
        </w:rPr>
        <w:t>开工前发包人向承包人提供全套施工图肆套；其中叁套用于竣工图。（提供的图纸数量不满足要求，承包人可向发包人申请加晒图纸，费用由承包人承担。）</w:t>
      </w:r>
      <w:r>
        <w:rPr>
          <w:rFonts w:hint="eastAsia" w:ascii="仿宋" w:hAnsi="仿宋" w:eastAsia="仿宋"/>
          <w:color w:val="auto"/>
          <w:kern w:val="0"/>
          <w:highlight w:val="none"/>
        </w:rPr>
        <w:t>发包人对其向承包人提供的图纸的保密要求：</w:t>
      </w:r>
      <w:r>
        <w:rPr>
          <w:rFonts w:hint="eastAsia" w:ascii="仿宋" w:hAnsi="仿宋" w:eastAsia="仿宋"/>
          <w:color w:val="auto"/>
          <w:highlight w:val="none"/>
          <w:u w:val="single"/>
        </w:rPr>
        <w:t>不得向第三方外传、外借、转让、披露，仅用于本工程的施工及验收的全过程。</w:t>
      </w:r>
    </w:p>
    <w:p w14:paraId="77B3DDE1">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使用国外图纸的要求及费用承担：</w:t>
      </w:r>
      <w:r>
        <w:rPr>
          <w:rFonts w:hint="eastAsia" w:ascii="仿宋" w:hAnsi="仿宋" w:eastAsia="仿宋" w:cs="宋体"/>
          <w:color w:val="auto"/>
          <w:kern w:val="0"/>
          <w:szCs w:val="21"/>
          <w:highlight w:val="none"/>
          <w:u w:val="single"/>
        </w:rPr>
        <w:t xml:space="preserve">   ／  </w:t>
      </w:r>
    </w:p>
    <w:p w14:paraId="2D06F336">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二、双方一般权利和义务</w:t>
      </w:r>
    </w:p>
    <w:p w14:paraId="11BACA38">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5、工程师</w:t>
      </w:r>
    </w:p>
    <w:p w14:paraId="4619FEC2">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5.2监理单位委派的工程师</w:t>
      </w:r>
    </w:p>
    <w:p w14:paraId="6F4CA0C7">
      <w:pPr>
        <w:adjustRightInd w:val="0"/>
        <w:snapToGrid w:val="0"/>
        <w:spacing w:line="360" w:lineRule="auto"/>
        <w:ind w:left="479" w:leftChars="228"/>
        <w:rPr>
          <w:rFonts w:ascii="仿宋" w:hAnsi="仿宋" w:eastAsia="仿宋"/>
          <w:color w:val="auto"/>
          <w:kern w:val="0"/>
          <w:szCs w:val="21"/>
          <w:highlight w:val="none"/>
        </w:rPr>
      </w:pPr>
      <w:r>
        <w:rPr>
          <w:rFonts w:hint="eastAsia" w:ascii="仿宋" w:hAnsi="仿宋" w:eastAsia="仿宋"/>
          <w:color w:val="auto"/>
          <w:kern w:val="0"/>
          <w:szCs w:val="21"/>
          <w:highlight w:val="none"/>
        </w:rPr>
        <w:t>姓名：</w:t>
      </w:r>
      <w:r>
        <w:rPr>
          <w:rFonts w:hint="eastAsia" w:ascii="仿宋" w:hAnsi="仿宋" w:eastAsia="仿宋"/>
          <w:color w:val="auto"/>
          <w:kern w:val="0"/>
          <w:szCs w:val="21"/>
          <w:highlight w:val="none"/>
          <w:u w:val="single"/>
        </w:rPr>
        <w:t xml:space="preserve">              </w:t>
      </w:r>
      <w:r>
        <w:rPr>
          <w:rFonts w:hint="eastAsia" w:ascii="仿宋" w:hAnsi="仿宋" w:eastAsia="仿宋"/>
          <w:color w:val="auto"/>
          <w:kern w:val="0"/>
          <w:szCs w:val="21"/>
          <w:highlight w:val="none"/>
        </w:rPr>
        <w:t>职务：</w:t>
      </w:r>
      <w:r>
        <w:rPr>
          <w:rFonts w:hint="eastAsia" w:ascii="仿宋" w:hAnsi="仿宋" w:eastAsia="仿宋"/>
          <w:color w:val="auto"/>
          <w:kern w:val="0"/>
          <w:szCs w:val="21"/>
          <w:highlight w:val="none"/>
          <w:u w:val="single"/>
        </w:rPr>
        <w:t xml:space="preserve">                   </w:t>
      </w:r>
    </w:p>
    <w:p w14:paraId="04D9E43A">
      <w:pPr>
        <w:adjustRightInd w:val="0"/>
        <w:snapToGrid w:val="0"/>
        <w:spacing w:line="360" w:lineRule="auto"/>
        <w:ind w:left="479" w:leftChars="228"/>
        <w:rPr>
          <w:rFonts w:ascii="仿宋" w:hAnsi="仿宋" w:eastAsia="仿宋"/>
          <w:color w:val="auto"/>
          <w:szCs w:val="21"/>
          <w:highlight w:val="none"/>
          <w:u w:val="single"/>
        </w:rPr>
      </w:pPr>
      <w:r>
        <w:rPr>
          <w:rFonts w:hint="eastAsia" w:ascii="仿宋" w:hAnsi="仿宋" w:eastAsia="仿宋"/>
          <w:color w:val="auto"/>
          <w:kern w:val="0"/>
          <w:szCs w:val="21"/>
          <w:highlight w:val="none"/>
        </w:rPr>
        <w:t>发包人委托的职权：</w:t>
      </w:r>
      <w:r>
        <w:rPr>
          <w:rFonts w:hint="eastAsia" w:ascii="仿宋" w:hAnsi="仿宋" w:eastAsia="仿宋"/>
          <w:color w:val="auto"/>
          <w:szCs w:val="21"/>
          <w:highlight w:val="none"/>
          <w:u w:val="single"/>
        </w:rPr>
        <w:t>依据监理合同行使职权。</w:t>
      </w:r>
    </w:p>
    <w:p w14:paraId="30CC232B">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需要取得发包人批准才能行使的职权：</w:t>
      </w:r>
      <w:r>
        <w:rPr>
          <w:rFonts w:hint="eastAsia" w:ascii="仿宋" w:hAnsi="仿宋" w:eastAsia="仿宋"/>
          <w:color w:val="auto"/>
          <w:szCs w:val="21"/>
          <w:highlight w:val="none"/>
          <w:u w:val="single"/>
        </w:rPr>
        <w:t>依据监理合同行使职权。</w:t>
      </w:r>
    </w:p>
    <w:p w14:paraId="61AFE86C">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5.3发包人派驻的工程师</w:t>
      </w:r>
    </w:p>
    <w:p w14:paraId="1CDC48D1">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姓名：</w:t>
      </w:r>
      <w:r>
        <w:rPr>
          <w:rFonts w:hint="eastAsia" w:ascii="仿宋" w:hAnsi="仿宋" w:eastAsia="仿宋"/>
          <w:color w:val="auto"/>
          <w:szCs w:val="21"/>
          <w:highlight w:val="none"/>
          <w:u w:val="single"/>
        </w:rPr>
        <w:t xml:space="preserve">                </w:t>
      </w:r>
      <w:r>
        <w:rPr>
          <w:rFonts w:hint="eastAsia" w:ascii="仿宋" w:hAnsi="仿宋" w:eastAsia="仿宋"/>
          <w:color w:val="auto"/>
          <w:kern w:val="0"/>
          <w:szCs w:val="21"/>
          <w:highlight w:val="none"/>
        </w:rPr>
        <w:t>职务：</w:t>
      </w:r>
      <w:r>
        <w:rPr>
          <w:rFonts w:hint="eastAsia" w:ascii="仿宋" w:hAnsi="仿宋" w:eastAsia="仿宋"/>
          <w:color w:val="auto"/>
          <w:kern w:val="0"/>
          <w:szCs w:val="21"/>
          <w:highlight w:val="none"/>
          <w:u w:val="single"/>
        </w:rPr>
        <w:t xml:space="preserve">               </w:t>
      </w:r>
    </w:p>
    <w:p w14:paraId="3C2C3FD4">
      <w:pPr>
        <w:pStyle w:val="6"/>
        <w:adjustRightInd w:val="0"/>
        <w:snapToGrid w:val="0"/>
        <w:rPr>
          <w:rFonts w:ascii="仿宋" w:hAnsi="仿宋" w:eastAsia="仿宋"/>
          <w:color w:val="auto"/>
          <w:spacing w:val="-10"/>
          <w:highlight w:val="none"/>
          <w:u w:val="single"/>
        </w:rPr>
      </w:pPr>
      <w:r>
        <w:rPr>
          <w:rFonts w:hint="eastAsia" w:ascii="仿宋" w:hAnsi="仿宋" w:eastAsia="仿宋"/>
          <w:color w:val="auto"/>
          <w:kern w:val="0"/>
          <w:highlight w:val="none"/>
        </w:rPr>
        <w:t>职权：</w:t>
      </w:r>
      <w:r>
        <w:rPr>
          <w:rFonts w:hint="eastAsia" w:ascii="仿宋" w:hAnsi="仿宋" w:eastAsia="仿宋"/>
          <w:color w:val="auto"/>
          <w:kern w:val="0"/>
          <w:highlight w:val="none"/>
          <w:u w:val="single"/>
        </w:rPr>
        <w:t>负责施工全过程内、外部关系协调、处理往来文件，对工程进度、质量、</w:t>
      </w:r>
      <w:r>
        <w:rPr>
          <w:rFonts w:hint="eastAsia" w:ascii="仿宋" w:hAnsi="仿宋" w:eastAsia="仿宋"/>
          <w:bCs/>
          <w:color w:val="auto"/>
          <w:kern w:val="0"/>
          <w:highlight w:val="none"/>
          <w:u w:val="single"/>
        </w:rPr>
        <w:t>变更指令、签证、</w:t>
      </w:r>
      <w:r>
        <w:rPr>
          <w:rFonts w:hint="eastAsia" w:ascii="仿宋" w:hAnsi="仿宋" w:eastAsia="仿宋"/>
          <w:color w:val="auto"/>
          <w:kern w:val="0"/>
          <w:highlight w:val="none"/>
          <w:u w:val="single"/>
        </w:rPr>
        <w:t>材料的认质认价、工程款支付、结算</w:t>
      </w:r>
      <w:r>
        <w:rPr>
          <w:rFonts w:hint="eastAsia" w:ascii="仿宋" w:hAnsi="仿宋" w:eastAsia="仿宋"/>
          <w:bCs/>
          <w:color w:val="auto"/>
          <w:kern w:val="0"/>
          <w:highlight w:val="none"/>
          <w:u w:val="single"/>
        </w:rPr>
        <w:t>等</w:t>
      </w:r>
      <w:r>
        <w:rPr>
          <w:rFonts w:hint="eastAsia" w:ascii="仿宋" w:hAnsi="仿宋" w:eastAsia="仿宋"/>
          <w:color w:val="auto"/>
          <w:kern w:val="0"/>
          <w:highlight w:val="none"/>
          <w:u w:val="single"/>
        </w:rPr>
        <w:t>进行管理。</w:t>
      </w:r>
      <w:r>
        <w:rPr>
          <w:rFonts w:hint="eastAsia" w:ascii="仿宋" w:hAnsi="仿宋" w:eastAsia="仿宋"/>
          <w:bCs/>
          <w:color w:val="auto"/>
          <w:kern w:val="0"/>
          <w:highlight w:val="none"/>
          <w:u w:val="single"/>
        </w:rPr>
        <w:t>发包人派驻工程师工作中的行为和指令均视为发包方具有法律效力的行为或指令。</w:t>
      </w:r>
    </w:p>
    <w:p w14:paraId="4AE49B6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7、项目经理</w:t>
      </w:r>
    </w:p>
    <w:p w14:paraId="3C552902">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姓名：</w:t>
      </w:r>
      <w:r>
        <w:rPr>
          <w:rFonts w:hint="eastAsia" w:ascii="仿宋" w:hAnsi="仿宋" w:eastAsia="仿宋"/>
          <w:color w:val="auto"/>
          <w:kern w:val="0"/>
          <w:szCs w:val="21"/>
          <w:highlight w:val="none"/>
          <w:u w:val="single"/>
        </w:rPr>
        <w:t xml:space="preserve">              </w:t>
      </w:r>
      <w:r>
        <w:rPr>
          <w:rFonts w:hint="eastAsia" w:ascii="仿宋" w:hAnsi="仿宋" w:eastAsia="仿宋"/>
          <w:color w:val="auto"/>
          <w:kern w:val="0"/>
          <w:szCs w:val="21"/>
          <w:highlight w:val="none"/>
        </w:rPr>
        <w:t>职务：</w:t>
      </w:r>
      <w:r>
        <w:rPr>
          <w:rFonts w:hint="eastAsia" w:ascii="仿宋" w:hAnsi="仿宋" w:eastAsia="仿宋"/>
          <w:color w:val="auto"/>
          <w:kern w:val="0"/>
          <w:szCs w:val="21"/>
          <w:highlight w:val="none"/>
          <w:u w:val="single"/>
        </w:rPr>
        <w:t xml:space="preserve">              </w:t>
      </w:r>
    </w:p>
    <w:p w14:paraId="2B15C5F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8、发包人工作</w:t>
      </w:r>
    </w:p>
    <w:p w14:paraId="4F9005D9">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8.1发包人应按约定的时间和要求完成以下工作：</w:t>
      </w:r>
    </w:p>
    <w:p w14:paraId="56F45F00">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（1）施工场地具备施工条件的要求及完成的时间：本专用条款签订时</w:t>
      </w:r>
      <w:r>
        <w:rPr>
          <w:rFonts w:hint="eastAsia" w:ascii="仿宋" w:hAnsi="仿宋" w:eastAsia="仿宋"/>
          <w:color w:val="auto"/>
          <w:szCs w:val="21"/>
          <w:highlight w:val="none"/>
          <w:u w:val="single"/>
        </w:rPr>
        <w:t>已具备开工条件。</w:t>
      </w:r>
    </w:p>
    <w:p w14:paraId="241AEBDD">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kern w:val="0"/>
          <w:szCs w:val="21"/>
          <w:highlight w:val="none"/>
        </w:rPr>
        <w:t>（2）将施工所需的水、电、电讯线路接至施工场地的时间、地点和供应要求：</w:t>
      </w:r>
      <w:r>
        <w:rPr>
          <w:rFonts w:hint="eastAsia" w:ascii="仿宋" w:hAnsi="仿宋" w:eastAsia="仿宋"/>
          <w:color w:val="auto"/>
          <w:szCs w:val="21"/>
          <w:highlight w:val="none"/>
          <w:u w:val="single"/>
        </w:rPr>
        <w:t>已满足施工需要。</w:t>
      </w:r>
    </w:p>
    <w:p w14:paraId="774319ED">
      <w:pPr>
        <w:adjustRightInd w:val="0"/>
        <w:snapToGrid w:val="0"/>
        <w:spacing w:line="360" w:lineRule="auto"/>
        <w:ind w:firstLine="420" w:firstLineChars="200"/>
        <w:rPr>
          <w:rFonts w:ascii="仿宋" w:hAnsi="仿宋" w:eastAsia="仿宋"/>
          <w:color w:val="auto"/>
          <w:kern w:val="0"/>
          <w:szCs w:val="21"/>
          <w:highlight w:val="none"/>
          <w:u w:val="single"/>
        </w:rPr>
      </w:pPr>
      <w:r>
        <w:rPr>
          <w:rFonts w:hint="eastAsia" w:ascii="仿宋" w:hAnsi="仿宋" w:eastAsia="仿宋"/>
          <w:color w:val="auto"/>
          <w:kern w:val="0"/>
          <w:szCs w:val="21"/>
          <w:highlight w:val="none"/>
        </w:rPr>
        <w:t>其计量和计价方法为：</w:t>
      </w:r>
      <w:r>
        <w:rPr>
          <w:rFonts w:hint="eastAsia" w:ascii="仿宋" w:hAnsi="仿宋" w:eastAsia="仿宋"/>
          <w:color w:val="auto"/>
          <w:kern w:val="0"/>
          <w:szCs w:val="21"/>
          <w:highlight w:val="none"/>
          <w:u w:val="single"/>
        </w:rPr>
        <w:t>水、电用量以计量表读数加分摊的损耗为准，价格执行相关部门的水、电费单价。水、电费用由承包人承担。</w:t>
      </w:r>
    </w:p>
    <w:p w14:paraId="3DBD0B47">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（3）施工场地与公共道路的通道开通时间和要求：</w:t>
      </w:r>
      <w:r>
        <w:rPr>
          <w:rFonts w:hint="eastAsia" w:ascii="仿宋" w:hAnsi="仿宋" w:eastAsia="仿宋"/>
          <w:color w:val="auto"/>
          <w:kern w:val="0"/>
          <w:szCs w:val="21"/>
          <w:highlight w:val="none"/>
          <w:u w:val="single"/>
        </w:rPr>
        <w:t>承包人进场前3日。</w:t>
      </w:r>
    </w:p>
    <w:p w14:paraId="42CC9D97">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（4）工程地质和地下管线资料的提供时间：</w:t>
      </w:r>
      <w:r>
        <w:rPr>
          <w:rFonts w:hint="eastAsia" w:ascii="仿宋" w:hAnsi="仿宋" w:eastAsia="仿宋"/>
          <w:color w:val="auto"/>
          <w:kern w:val="0"/>
          <w:szCs w:val="21"/>
          <w:highlight w:val="none"/>
          <w:u w:val="single"/>
        </w:rPr>
        <w:t>承包人进场后3日内。</w:t>
      </w:r>
    </w:p>
    <w:p w14:paraId="42C3D55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（5）施工所需证件、批件：</w:t>
      </w:r>
      <w:r>
        <w:rPr>
          <w:rFonts w:hint="eastAsia" w:ascii="仿宋" w:hAnsi="仿宋" w:eastAsia="仿宋"/>
          <w:color w:val="auto"/>
          <w:kern w:val="0"/>
          <w:szCs w:val="21"/>
          <w:highlight w:val="none"/>
          <w:u w:val="single"/>
        </w:rPr>
        <w:t>由发包人办理。</w:t>
      </w:r>
    </w:p>
    <w:p w14:paraId="4E36CE9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 xml:space="preserve">（6）水准点与座标控制点交验要求 </w:t>
      </w:r>
      <w:r>
        <w:rPr>
          <w:rFonts w:hint="eastAsia" w:ascii="仿宋" w:hAnsi="仿宋" w:eastAsia="仿宋"/>
          <w:color w:val="auto"/>
          <w:szCs w:val="21"/>
          <w:highlight w:val="none"/>
          <w:u w:val="single"/>
        </w:rPr>
        <w:t>开工前由发包人提供水准点与坐标控制点，双方进行现场交验</w:t>
      </w:r>
      <w:r>
        <w:rPr>
          <w:rFonts w:hint="eastAsia" w:ascii="仿宋" w:hAnsi="仿宋" w:eastAsia="仿宋"/>
          <w:color w:val="auto"/>
          <w:szCs w:val="21"/>
          <w:highlight w:val="none"/>
        </w:rPr>
        <w:t>。</w:t>
      </w:r>
    </w:p>
    <w:p w14:paraId="333819EB">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（7）图纸会审和设计交底时间：</w:t>
      </w:r>
      <w:r>
        <w:rPr>
          <w:rFonts w:hint="eastAsia" w:ascii="仿宋" w:hAnsi="仿宋" w:eastAsia="仿宋"/>
          <w:color w:val="auto"/>
          <w:kern w:val="0"/>
          <w:szCs w:val="21"/>
          <w:highlight w:val="none"/>
          <w:u w:val="single"/>
        </w:rPr>
        <w:t>承包人进场后5天内完成图纸审查，向发包人申请交底。</w:t>
      </w:r>
    </w:p>
    <w:p w14:paraId="0A364E2B">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（8）双方约定发包人应做的其他工作：</w:t>
      </w:r>
      <w:r>
        <w:rPr>
          <w:rFonts w:hint="eastAsia" w:ascii="仿宋" w:hAnsi="仿宋" w:eastAsia="仿宋"/>
          <w:color w:val="auto"/>
          <w:szCs w:val="21"/>
          <w:highlight w:val="none"/>
          <w:u w:val="single"/>
        </w:rPr>
        <w:t>另行约定。</w:t>
      </w:r>
    </w:p>
    <w:p w14:paraId="1A1EEB2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8.2发包人委托承包人办理的工作：</w:t>
      </w:r>
      <w:r>
        <w:rPr>
          <w:rFonts w:hint="eastAsia" w:ascii="仿宋" w:hAnsi="仿宋" w:eastAsia="仿宋" w:cs="宋体"/>
          <w:color w:val="auto"/>
          <w:kern w:val="0"/>
          <w:szCs w:val="21"/>
          <w:highlight w:val="none"/>
          <w:u w:val="single"/>
        </w:rPr>
        <w:t xml:space="preserve"> ／ </w:t>
      </w:r>
    </w:p>
    <w:p w14:paraId="0EDBC4A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9、承包人工作</w:t>
      </w:r>
    </w:p>
    <w:p w14:paraId="23990F9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9.1承包人应按约定时间和要求，完成以下工作：</w:t>
      </w:r>
    </w:p>
    <w:p w14:paraId="063C6D83">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（1）需由设计资质等级和业务范围允许的承包人完成的设计文件提交时间：</w:t>
      </w:r>
      <w:r>
        <w:rPr>
          <w:rFonts w:hint="eastAsia" w:ascii="仿宋" w:hAnsi="仿宋" w:eastAsia="仿宋" w:cs="宋体"/>
          <w:color w:val="auto"/>
          <w:kern w:val="0"/>
          <w:szCs w:val="21"/>
          <w:highlight w:val="none"/>
          <w:u w:val="single"/>
        </w:rPr>
        <w:t xml:space="preserve">  ／  </w:t>
      </w:r>
    </w:p>
    <w:p w14:paraId="63F688C1">
      <w:pPr>
        <w:adjustRightInd w:val="0"/>
        <w:snapToGrid w:val="0"/>
        <w:spacing w:line="360" w:lineRule="auto"/>
        <w:ind w:firstLine="420" w:firstLineChars="200"/>
        <w:rPr>
          <w:rFonts w:ascii="仿宋" w:hAnsi="仿宋" w:eastAsia="仿宋"/>
          <w:color w:val="auto"/>
          <w:kern w:val="0"/>
          <w:szCs w:val="21"/>
          <w:highlight w:val="none"/>
          <w:u w:val="single"/>
        </w:rPr>
      </w:pPr>
      <w:r>
        <w:rPr>
          <w:rFonts w:hint="eastAsia" w:ascii="仿宋" w:hAnsi="仿宋" w:eastAsia="仿宋"/>
          <w:color w:val="auto"/>
          <w:kern w:val="0"/>
          <w:szCs w:val="21"/>
          <w:highlight w:val="none"/>
        </w:rPr>
        <w:t>（2）应提供计划、报表的名称及完成时间：</w:t>
      </w:r>
      <w:r>
        <w:rPr>
          <w:rFonts w:hint="eastAsia" w:ascii="仿宋" w:hAnsi="仿宋" w:eastAsia="仿宋"/>
          <w:color w:val="auto"/>
          <w:kern w:val="0"/>
          <w:szCs w:val="21"/>
          <w:highlight w:val="none"/>
          <w:u w:val="single"/>
        </w:rPr>
        <w:t>本合同签订后七日内向发包方代表、监理工程师提供总进度计划、总体资金使用计划。</w:t>
      </w:r>
    </w:p>
    <w:p w14:paraId="544CA38F">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kern w:val="0"/>
          <w:szCs w:val="21"/>
          <w:highlight w:val="none"/>
        </w:rPr>
        <w:t>（3）承担施工安全保卫工作及非夜间施工照明的责任和要求：</w:t>
      </w:r>
      <w:r>
        <w:rPr>
          <w:rFonts w:hint="eastAsia" w:ascii="仿宋" w:hAnsi="仿宋" w:eastAsia="仿宋"/>
          <w:color w:val="auto"/>
          <w:szCs w:val="21"/>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JGJ46-88》和《建设工程施工现场供用电安全规范GB50104-93》组织施工，并承担由此产生的费用。因承包人未能履行上述义务，造成工程财产和人身伤害，由承包人承担责任及发生的费用。除因发包人的行为或过失而造成的伤亡外，发包人不承担承包人或其分包单位雇用的工人或其他人员的伤亡赔偿或补偿责任。</w:t>
      </w:r>
    </w:p>
    <w:p w14:paraId="735510A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（4）向发包人提供的办公和生活房屋及设施的要求：</w:t>
      </w:r>
      <w:r>
        <w:rPr>
          <w:rFonts w:hint="eastAsia" w:ascii="仿宋" w:hAnsi="仿宋" w:eastAsia="仿宋"/>
          <w:color w:val="auto"/>
          <w:szCs w:val="21"/>
          <w:highlight w:val="none"/>
          <w:u w:val="single"/>
        </w:rPr>
        <w:t>提供发包人及监理办公室共2间。</w:t>
      </w:r>
    </w:p>
    <w:p w14:paraId="151DE30B">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（5）需承包人办理的有关施工场地交通、环卫和施工噪音管理等手续：</w:t>
      </w:r>
      <w:r>
        <w:rPr>
          <w:rFonts w:hint="eastAsia" w:ascii="仿宋" w:hAnsi="仿宋" w:eastAsia="仿宋"/>
          <w:color w:val="auto"/>
          <w:kern w:val="0"/>
          <w:szCs w:val="21"/>
          <w:highlight w:val="none"/>
          <w:u w:val="single"/>
        </w:rPr>
        <w:t>按照政府部门相关规定办理并承担政府部门规定由施工单位缴纳的费用，发包人提供协助。</w:t>
      </w:r>
    </w:p>
    <w:p w14:paraId="1EA24A7F">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（6）已完工程成品保护的特殊要求及费用承担：</w:t>
      </w:r>
      <w:r>
        <w:rPr>
          <w:rFonts w:hint="eastAsia" w:ascii="仿宋" w:hAnsi="仿宋" w:eastAsia="仿宋"/>
          <w:color w:val="auto"/>
          <w:szCs w:val="21"/>
          <w:highlight w:val="none"/>
          <w:u w:val="single"/>
        </w:rPr>
        <w:t>已竣工工程未交付发包人之前，承包人负责已完工程的成品保护工作，保护期间发生损坏，承包人负责予以修复并承担费用；工程交付发包人后，保护工程及费用由发包人承担。</w:t>
      </w:r>
    </w:p>
    <w:p w14:paraId="2077624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（7）施工场地周围地下管线和邻近建筑物、构筑物（含文物保护建筑）、古树名木的保护要求及费用承担：</w:t>
      </w:r>
      <w:r>
        <w:rPr>
          <w:rFonts w:hint="eastAsia" w:ascii="仿宋" w:hAnsi="仿宋" w:eastAsia="仿宋"/>
          <w:color w:val="auto"/>
          <w:szCs w:val="21"/>
          <w:highlight w:val="none"/>
          <w:u w:val="single"/>
        </w:rPr>
        <w:t>承包人应按发包人指令或按操作规程做好</w:t>
      </w:r>
      <w:r>
        <w:rPr>
          <w:rFonts w:hint="eastAsia" w:ascii="仿宋" w:hAnsi="仿宋" w:eastAsia="仿宋"/>
          <w:color w:val="auto"/>
          <w:kern w:val="0"/>
          <w:szCs w:val="21"/>
          <w:highlight w:val="none"/>
          <w:u w:val="single"/>
        </w:rPr>
        <w:t>施工场地周围地下管线和邻近建筑物、构筑物（含文物保护建筑）、古树名木的保护工作，否则，</w:t>
      </w:r>
      <w:r>
        <w:rPr>
          <w:rFonts w:hint="eastAsia" w:ascii="仿宋" w:hAnsi="仿宋" w:eastAsia="仿宋"/>
          <w:color w:val="auto"/>
          <w:szCs w:val="21"/>
          <w:highlight w:val="none"/>
          <w:u w:val="single"/>
        </w:rPr>
        <w:t>造成的损失费用由承包人承担。</w:t>
      </w:r>
    </w:p>
    <w:p w14:paraId="4DFF1C0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（8）施工场地清洁卫生的要求：</w:t>
      </w:r>
      <w:r>
        <w:rPr>
          <w:rFonts w:hint="eastAsia" w:ascii="仿宋" w:hAnsi="仿宋" w:eastAsia="仿宋"/>
          <w:color w:val="auto"/>
          <w:szCs w:val="21"/>
          <w:highlight w:val="none"/>
          <w:u w:val="single"/>
        </w:rPr>
        <w:t>达到陕西省文明工地的标准，并无偿配合创卫工作。</w:t>
      </w:r>
    </w:p>
    <w:p w14:paraId="66C3629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（9）双方约定承包人应做的其它工作：</w:t>
      </w:r>
    </w:p>
    <w:p w14:paraId="72F435D2">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u w:val="single"/>
        </w:rPr>
        <w:t>① 承包人在磋商书中填写的资料，属于合同文本的组成部分，承包人应全面履行其所作的承诺，否则属于承包人违约。根据其违约情况，承包人向发包人支付1万元~10万元/项的惩罚性违约金。</w:t>
      </w:r>
    </w:p>
    <w:p w14:paraId="2C910F64">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u w:val="single"/>
        </w:rPr>
        <w:t>② 承包人项目经理和技术负责人无特殊情况每月坚守工地时间不得少于26天，缺勤按1000元/天·人标准向发包人支付违约金。项目经理和技术负责人需要离开工地时必须向发包人请假，获批准后方可离开工地，否则按缺勤处理。</w:t>
      </w:r>
    </w:p>
    <w:p w14:paraId="4B6FEA85">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u w:val="single"/>
        </w:rPr>
        <w:t>③ 承包人更换项目经理应得到发包人认可。承包人擅自更换项目经理的，应按5万元/人·次的标准向发包人支付违约金。</w:t>
      </w:r>
    </w:p>
    <w:p w14:paraId="7976618D">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u w:val="single"/>
        </w:rPr>
        <w:t>④ 承包人主要机械设备未能按工程计划（或监理工程师的要求）及时到场或到场设备不能正常运转以及擅自调走已进场的机械设备，应按200元/天·台（套）标准向发包人支付违约金；迟到或调离超过10天的，发包人可自行组织采购，因此产生的费用由承包方承担，在发包方应向承包方支付款项中扣除，因此导致未能按时完工的，承包方承包延迟交付违约责任，向发包方支付违约金。</w:t>
      </w:r>
    </w:p>
    <w:p w14:paraId="40B26D08">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u w:val="single"/>
        </w:rPr>
        <w:fldChar w:fldCharType="begin"/>
      </w:r>
      <w:r>
        <w:rPr>
          <w:rFonts w:hint="eastAsia" w:ascii="仿宋" w:hAnsi="仿宋" w:eastAsia="仿宋"/>
          <w:color w:val="auto"/>
          <w:szCs w:val="21"/>
          <w:highlight w:val="none"/>
          <w:u w:val="single"/>
        </w:rPr>
        <w:instrText xml:space="preserve">eq \o\ac(○,5)</w:instrText>
      </w:r>
      <w:r>
        <w:rPr>
          <w:rFonts w:hint="eastAsia" w:ascii="仿宋" w:hAnsi="仿宋" w:eastAsia="仿宋"/>
          <w:color w:val="auto"/>
          <w:szCs w:val="21"/>
          <w:highlight w:val="none"/>
          <w:u w:val="single"/>
        </w:rPr>
        <w:fldChar w:fldCharType="end"/>
      </w:r>
      <w:r>
        <w:rPr>
          <w:rFonts w:hint="eastAsia" w:ascii="仿宋" w:hAnsi="仿宋" w:eastAsia="仿宋"/>
          <w:color w:val="auto"/>
          <w:szCs w:val="21"/>
          <w:highlight w:val="none"/>
          <w:u w:val="single"/>
        </w:rPr>
        <w:t>承包人应充分考虑施工场地较小等场地因素，施工人员不得居住在现场内，承包人自行安排施工人员在现场以外的地方住宿，并承担由此产生的费用。</w:t>
      </w:r>
    </w:p>
    <w:p w14:paraId="635AA5E9">
      <w:pPr>
        <w:adjustRightInd w:val="0"/>
        <w:snapToGrid w:val="0"/>
        <w:spacing w:line="360" w:lineRule="auto"/>
        <w:ind w:firstLine="420" w:firstLineChars="200"/>
        <w:rPr>
          <w:rFonts w:ascii="仿宋" w:hAnsi="仿宋" w:eastAsia="仿宋"/>
          <w:color w:val="auto"/>
          <w:kern w:val="0"/>
          <w:szCs w:val="21"/>
          <w:highlight w:val="none"/>
          <w:u w:val="single"/>
        </w:rPr>
      </w:pPr>
      <w:r>
        <w:rPr>
          <w:rFonts w:hint="eastAsia" w:ascii="仿宋" w:hAnsi="仿宋" w:eastAsia="仿宋"/>
          <w:color w:val="auto"/>
          <w:szCs w:val="21"/>
          <w:highlight w:val="none"/>
          <w:u w:val="single"/>
        </w:rPr>
        <w:fldChar w:fldCharType="begin"/>
      </w:r>
      <w:r>
        <w:rPr>
          <w:rFonts w:hint="eastAsia" w:ascii="仿宋" w:hAnsi="仿宋" w:eastAsia="仿宋"/>
          <w:color w:val="auto"/>
          <w:szCs w:val="21"/>
          <w:highlight w:val="none"/>
          <w:u w:val="single"/>
        </w:rPr>
        <w:instrText xml:space="preserve">eq \o\ac(○,6)</w:instrText>
      </w:r>
      <w:r>
        <w:rPr>
          <w:rFonts w:hint="eastAsia" w:ascii="仿宋" w:hAnsi="仿宋" w:eastAsia="仿宋"/>
          <w:color w:val="auto"/>
          <w:szCs w:val="21"/>
          <w:highlight w:val="none"/>
          <w:u w:val="single"/>
        </w:rPr>
        <w:fldChar w:fldCharType="end"/>
      </w:r>
      <w:r>
        <w:rPr>
          <w:rFonts w:hint="eastAsia" w:ascii="仿宋" w:hAnsi="仿宋" w:eastAsia="仿宋"/>
          <w:color w:val="auto"/>
          <w:kern w:val="0"/>
          <w:szCs w:val="21"/>
          <w:highlight w:val="none"/>
          <w:u w:val="single"/>
        </w:rPr>
        <w:t>遵守门卫制度。</w:t>
      </w:r>
    </w:p>
    <w:p w14:paraId="4ECD2897">
      <w:pPr>
        <w:adjustRightInd w:val="0"/>
        <w:snapToGrid w:val="0"/>
        <w:spacing w:line="360" w:lineRule="auto"/>
        <w:ind w:firstLine="420" w:firstLineChars="200"/>
        <w:rPr>
          <w:rFonts w:ascii="仿宋" w:hAnsi="仿宋" w:eastAsia="仿宋"/>
          <w:color w:val="auto"/>
          <w:kern w:val="0"/>
          <w:szCs w:val="21"/>
          <w:highlight w:val="none"/>
          <w:u w:val="single"/>
        </w:rPr>
      </w:pPr>
      <w:r>
        <w:rPr>
          <w:rFonts w:hint="eastAsia" w:ascii="仿宋" w:hAnsi="仿宋" w:eastAsia="仿宋"/>
          <w:color w:val="auto"/>
          <w:kern w:val="0"/>
          <w:szCs w:val="21"/>
          <w:highlight w:val="none"/>
          <w:u w:val="single"/>
        </w:rPr>
        <w:t>⑦从合同生效之日起直到合同终止的时间内，承包人应承担合同规定的现场各项临时房屋、设施、设备的修建、购置、安装、管理、保养和维修，并提供必要的设施保洁服务。至合同终止发包人及监理工程师撤出工地后，上述各项设备和设施均由承包人自行收回和拆除。承包人提供的以上条件和服务被认为包含在承包人的磋商报价中。</w:t>
      </w:r>
    </w:p>
    <w:p w14:paraId="58DC3AFD">
      <w:pPr>
        <w:adjustRightInd w:val="0"/>
        <w:snapToGrid w:val="0"/>
        <w:spacing w:line="360" w:lineRule="auto"/>
        <w:ind w:firstLine="420" w:firstLineChars="200"/>
        <w:rPr>
          <w:rFonts w:ascii="仿宋" w:hAnsi="仿宋" w:eastAsia="仿宋" w:cs="Bodoni MT"/>
          <w:color w:val="auto"/>
          <w:kern w:val="0"/>
          <w:highlight w:val="none"/>
          <w:u w:val="single"/>
        </w:rPr>
      </w:pPr>
      <w:r>
        <w:rPr>
          <w:rFonts w:hint="eastAsia" w:ascii="仿宋" w:hAnsi="仿宋" w:eastAsia="仿宋" w:cs="Bodoni MT"/>
          <w:color w:val="auto"/>
          <w:kern w:val="0"/>
          <w:highlight w:val="none"/>
          <w:u w:val="single"/>
        </w:rPr>
        <w:t>⑧发包人需要时，可能对施工做出某些限制和配合要求，承包人应按照要求做出配合，并承担因此而引起工效降低需增加的费用。</w:t>
      </w:r>
    </w:p>
    <w:p w14:paraId="2FF3F246">
      <w:pPr>
        <w:adjustRightInd w:val="0"/>
        <w:snapToGrid w:val="0"/>
        <w:spacing w:line="360" w:lineRule="auto"/>
        <w:ind w:firstLine="420" w:firstLineChars="200"/>
        <w:rPr>
          <w:rFonts w:ascii="仿宋" w:hAnsi="仿宋" w:eastAsia="仿宋"/>
          <w:color w:val="auto"/>
          <w:kern w:val="0"/>
          <w:szCs w:val="21"/>
          <w:highlight w:val="none"/>
          <w:u w:val="single"/>
        </w:rPr>
      </w:pPr>
      <w:r>
        <w:rPr>
          <w:rFonts w:hint="eastAsia" w:ascii="仿宋" w:hAnsi="仿宋" w:eastAsia="仿宋"/>
          <w:color w:val="auto"/>
          <w:kern w:val="0"/>
          <w:szCs w:val="21"/>
          <w:highlight w:val="none"/>
          <w:u w:val="single"/>
        </w:rPr>
        <w:t>⑨承包人产生建筑垃圾和生活垃圾清运工作由承包人负责，费用由承包人承担。承包人应按发包人要求和本合同约定清运垃圾。若不按时清运，发包方可组织清运，因此产生的费用由承包方承担，在</w:t>
      </w:r>
      <w:r>
        <w:rPr>
          <w:rFonts w:hint="eastAsia" w:ascii="仿宋" w:hAnsi="仿宋" w:eastAsia="仿宋"/>
          <w:color w:val="auto"/>
          <w:szCs w:val="21"/>
          <w:highlight w:val="none"/>
          <w:u w:val="single"/>
        </w:rPr>
        <w:t>发包方应向承包方支付款项中扣除。</w:t>
      </w:r>
    </w:p>
    <w:p w14:paraId="7C9413E3">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三、施工组织设计和工期</w:t>
      </w:r>
    </w:p>
    <w:p w14:paraId="105CC28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10、进度计划</w:t>
      </w:r>
    </w:p>
    <w:p w14:paraId="5EDD4E86">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10.1承包人提供施工组织设计（施工方案）和进度计划的时间：</w:t>
      </w:r>
      <w:r>
        <w:rPr>
          <w:rFonts w:hint="eastAsia" w:ascii="仿宋" w:hAnsi="仿宋" w:eastAsia="仿宋"/>
          <w:color w:val="auto"/>
          <w:szCs w:val="21"/>
          <w:highlight w:val="none"/>
          <w:u w:val="single"/>
        </w:rPr>
        <w:t>开工前3日内。</w:t>
      </w:r>
    </w:p>
    <w:p w14:paraId="6989757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工程师确认的时间：</w:t>
      </w:r>
      <w:r>
        <w:rPr>
          <w:rFonts w:hint="eastAsia" w:ascii="仿宋" w:hAnsi="仿宋" w:eastAsia="仿宋"/>
          <w:color w:val="auto"/>
          <w:szCs w:val="21"/>
          <w:highlight w:val="none"/>
          <w:u w:val="single"/>
        </w:rPr>
        <w:t>收到后14日内，如果逾期则视为认可。</w:t>
      </w:r>
    </w:p>
    <w:p w14:paraId="73F1488D">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kern w:val="0"/>
          <w:szCs w:val="21"/>
          <w:highlight w:val="none"/>
        </w:rPr>
        <w:t>10.2群体工程中有关进度计划的要求：</w:t>
      </w:r>
      <w:r>
        <w:rPr>
          <w:rFonts w:hint="eastAsia" w:ascii="仿宋" w:hAnsi="仿宋" w:eastAsia="仿宋"/>
          <w:color w:val="auto"/>
          <w:szCs w:val="21"/>
          <w:highlight w:val="none"/>
          <w:u w:val="single"/>
        </w:rPr>
        <w:t xml:space="preserve">针对本工程承包人除须编报总体施工组织设计和进度计划外，还应编报单项工程进度计划，单项工程进度计划要服从总体工程进度计划的要求。在任何时候，如果工程师提出工程的实际进度与施工进度计划不符时，承包人应根据发包人的要求，另行编制施工进度计划，并做出说明，且不得以此为由延长工期。 </w:t>
      </w:r>
    </w:p>
    <w:p w14:paraId="25FDC51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13、工期延误</w:t>
      </w:r>
    </w:p>
    <w:p w14:paraId="45ABCCAB">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13.1双方约定工期顺延的其他情况：</w:t>
      </w:r>
      <w:r>
        <w:rPr>
          <w:rFonts w:hint="eastAsia" w:ascii="仿宋" w:hAnsi="仿宋" w:eastAsia="仿宋"/>
          <w:color w:val="auto"/>
          <w:szCs w:val="21"/>
          <w:highlight w:val="none"/>
          <w:u w:val="single"/>
        </w:rPr>
        <w:t>除执行通用条款13条外，以及政府政策及特殊规定，如创卫、工程所在地有关部门特殊要求等；突发性的公共、卫生、治安事件；施工中遇到不可预见障碍物或古墓、文物等需要处理的情况。</w:t>
      </w:r>
    </w:p>
    <w:p w14:paraId="2049A45E">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四、质量与检验</w:t>
      </w:r>
    </w:p>
    <w:p w14:paraId="635B2E8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17、隐蔽工程和中间验收</w:t>
      </w:r>
    </w:p>
    <w:p w14:paraId="31F4660F">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17.1隐蔽工程经监理验收合格后方可进行隐蔽，未经监理验收合格承包人擅自隐蔽的，承包人应承担由此给发包人造成的损失且工期不予顺延。</w:t>
      </w:r>
    </w:p>
    <w:p w14:paraId="65B0F46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17.2承包人应随时接受发包人监理工程师的质量检查检验。工程施工质量达不到约定标准的部分，承包人无条件返工，并承担拆除和重新施工的费用及给发包人造成的损失且工期不予顺延。</w:t>
      </w:r>
    </w:p>
    <w:p w14:paraId="55767C70">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19、工程试车</w:t>
      </w:r>
    </w:p>
    <w:p w14:paraId="71DDF19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19.5试车费用的承担：</w:t>
      </w:r>
      <w:r>
        <w:rPr>
          <w:rFonts w:hint="eastAsia" w:ascii="仿宋" w:hAnsi="仿宋" w:eastAsia="仿宋"/>
          <w:color w:val="auto"/>
          <w:szCs w:val="21"/>
          <w:highlight w:val="none"/>
          <w:u w:val="single"/>
        </w:rPr>
        <w:t>本工程由承包人在交验前对工程进行清理等，所需费用已包括在合同价内。</w:t>
      </w:r>
    </w:p>
    <w:p w14:paraId="54EF9165">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五、安全防护、文明施工</w:t>
      </w:r>
    </w:p>
    <w:p w14:paraId="7F459A08">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u w:val="single"/>
        </w:rPr>
        <w:t>承包人严格按陕西省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14:paraId="5DC71E5E">
      <w:pPr>
        <w:adjustRightInd w:val="0"/>
        <w:snapToGrid w:val="0"/>
        <w:spacing w:line="360" w:lineRule="auto"/>
        <w:ind w:firstLine="420" w:firstLineChars="200"/>
        <w:rPr>
          <w:rFonts w:ascii="仿宋" w:hAnsi="仿宋" w:eastAsia="仿宋"/>
          <w:b/>
          <w:color w:val="auto"/>
          <w:kern w:val="0"/>
          <w:szCs w:val="21"/>
          <w:highlight w:val="none"/>
          <w:u w:val="single"/>
        </w:rPr>
      </w:pPr>
      <w:r>
        <w:rPr>
          <w:rFonts w:hint="eastAsia" w:ascii="仿宋" w:hAnsi="仿宋" w:eastAsia="仿宋"/>
          <w:color w:val="auto"/>
          <w:szCs w:val="21"/>
          <w:highlight w:val="none"/>
          <w:u w:val="single"/>
        </w:rPr>
        <w:t>安全目标为无死亡事故，工伤频率控制在陕西省建筑施工安全管理法规规定的指标要求范围内。</w:t>
      </w:r>
      <w:r>
        <w:rPr>
          <w:rFonts w:hint="eastAsia" w:ascii="仿宋" w:hAnsi="仿宋" w:eastAsia="仿宋"/>
          <w:bCs/>
          <w:color w:val="auto"/>
          <w:szCs w:val="21"/>
          <w:highlight w:val="none"/>
          <w:u w:val="single"/>
        </w:rPr>
        <w:t>若发生工伤事故，有关费用全部由承包人承担，因此给发包人造成损失的，还应按照发包人的实际损失承担赔偿责任。</w:t>
      </w:r>
    </w:p>
    <w:p w14:paraId="6E9DAE0D">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六、合同价款</w:t>
      </w:r>
    </w:p>
    <w:p w14:paraId="5636E2E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26、合同价款约定</w:t>
      </w:r>
    </w:p>
    <w:p w14:paraId="23B9E68B">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26.2本合同价款采用第</w:t>
      </w:r>
      <w:r>
        <w:rPr>
          <w:rFonts w:hint="eastAsia" w:ascii="仿宋" w:hAnsi="仿宋" w:eastAsia="仿宋"/>
          <w:color w:val="auto"/>
          <w:kern w:val="0"/>
          <w:szCs w:val="21"/>
          <w:highlight w:val="none"/>
          <w:u w:val="single"/>
        </w:rPr>
        <w:t>（2）种</w:t>
      </w:r>
      <w:r>
        <w:rPr>
          <w:rFonts w:hint="eastAsia" w:ascii="仿宋" w:hAnsi="仿宋" w:eastAsia="仿宋"/>
          <w:color w:val="auto"/>
          <w:kern w:val="0"/>
          <w:szCs w:val="21"/>
          <w:highlight w:val="none"/>
        </w:rPr>
        <w:t>方式确定。</w:t>
      </w:r>
    </w:p>
    <w:p w14:paraId="35DC2096">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（1）采用固定总价合同：</w:t>
      </w:r>
      <w:r>
        <w:rPr>
          <w:rFonts w:hint="eastAsia" w:ascii="仿宋" w:hAnsi="仿宋" w:eastAsia="仿宋" w:cs="宋体"/>
          <w:color w:val="auto"/>
          <w:kern w:val="0"/>
          <w:szCs w:val="21"/>
          <w:highlight w:val="none"/>
          <w:u w:val="single"/>
        </w:rPr>
        <w:t xml:space="preserve">  /  </w:t>
      </w:r>
    </w:p>
    <w:p w14:paraId="01910596">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（2）采用固定综合单价合同，本工程在图纸设计深度范围内综合单价包死，</w:t>
      </w:r>
      <w:r>
        <w:rPr>
          <w:rFonts w:hint="eastAsia" w:ascii="仿宋" w:hAnsi="仿宋" w:eastAsia="仿宋"/>
          <w:color w:val="auto"/>
          <w:position w:val="-2"/>
          <w:szCs w:val="21"/>
          <w:highlight w:val="none"/>
        </w:rPr>
        <w:t>发包人有权依据竣工结算图纸、设计变更以及现场实际用料情况等对综合单价进行调整。项目报价必须包括设备费、材料费、管线费、施工安装费、总承包配合费、相关项目配合费、税金、运输及运输保险费、质保期内维修保养费、特殊工具费、售后服务费、协调费、培训费、工程验收费（包括所有的专项验收）、各类保险费用（包括但不限于人员、设备、材料及施工、安装等的保险费用及第三者责任和意外损失等保险费用）、政策性文件规定及合同包含的所有风险、责任等各项应有的费用。承包人应考虑到在本项目建设完成并最终交付发包人使用且完成验收之前与本项目有关的一切责任和风险均由承包人承担。</w:t>
      </w:r>
    </w:p>
    <w:p w14:paraId="4EDC44B3">
      <w:pPr>
        <w:adjustRightInd w:val="0"/>
        <w:snapToGrid w:val="0"/>
        <w:spacing w:line="360" w:lineRule="auto"/>
        <w:ind w:firstLine="420" w:firstLineChars="200"/>
        <w:rPr>
          <w:rFonts w:ascii="仿宋" w:hAnsi="仿宋" w:eastAsia="仿宋"/>
          <w:bCs/>
          <w:color w:val="auto"/>
          <w:szCs w:val="21"/>
          <w:highlight w:val="none"/>
          <w:u w:val="single"/>
        </w:rPr>
      </w:pPr>
      <w:r>
        <w:rPr>
          <w:rFonts w:hint="eastAsia" w:ascii="仿宋" w:hAnsi="仿宋" w:eastAsia="仿宋"/>
          <w:color w:val="auto"/>
          <w:kern w:val="0"/>
          <w:szCs w:val="21"/>
          <w:highlight w:val="none"/>
        </w:rPr>
        <w:t>风险范围以外综合单价调整方法：</w:t>
      </w:r>
      <w:r>
        <w:rPr>
          <w:rFonts w:hint="eastAsia" w:ascii="仿宋" w:hAnsi="仿宋" w:eastAsia="仿宋"/>
          <w:bCs/>
          <w:color w:val="auto"/>
          <w:szCs w:val="21"/>
          <w:highlight w:val="none"/>
          <w:u w:val="single"/>
        </w:rPr>
        <w:t>依照通用条款、磋商文件、答疑纪要、设计变更、现场签证、洽商文件、发包人认质认价单及专用条款的约定进行调整。</w:t>
      </w:r>
    </w:p>
    <w:p w14:paraId="76AA4DA7">
      <w:pPr>
        <w:adjustRightInd w:val="0"/>
        <w:snapToGrid w:val="0"/>
        <w:spacing w:line="360" w:lineRule="auto"/>
        <w:ind w:firstLine="422" w:firstLineChars="200"/>
        <w:rPr>
          <w:rFonts w:ascii="仿宋" w:hAnsi="仿宋" w:eastAsia="仿宋"/>
          <w:b/>
          <w:color w:val="auto"/>
          <w:highlight w:val="none"/>
        </w:rPr>
      </w:pPr>
      <w:r>
        <w:rPr>
          <w:rFonts w:hint="eastAsia" w:ascii="仿宋" w:hAnsi="仿宋" w:eastAsia="仿宋"/>
          <w:b/>
          <w:color w:val="auto"/>
          <w:highlight w:val="none"/>
        </w:rPr>
        <w:t>备注：本项目施工过程中发生的工程变更，材料价格以编制招标最高限价书时的信息价为准进行结算。</w:t>
      </w:r>
    </w:p>
    <w:p w14:paraId="013B573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（3）采用可调价格合同，合同价款调整方法：</w:t>
      </w:r>
      <w:r>
        <w:rPr>
          <w:rFonts w:hint="eastAsia" w:ascii="仿宋" w:hAnsi="仿宋" w:eastAsia="仿宋" w:cs="宋体"/>
          <w:color w:val="auto"/>
          <w:kern w:val="0"/>
          <w:szCs w:val="21"/>
          <w:highlight w:val="none"/>
          <w:u w:val="single"/>
        </w:rPr>
        <w:t xml:space="preserve">  ／  </w:t>
      </w:r>
    </w:p>
    <w:p w14:paraId="6C2CD982">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27、合同价款调整</w:t>
      </w:r>
    </w:p>
    <w:p w14:paraId="2330A898">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27.1双方约定合同价款的其它调整因素：</w:t>
      </w:r>
    </w:p>
    <w:p w14:paraId="33937956">
      <w:pPr>
        <w:autoSpaceDE w:val="0"/>
        <w:autoSpaceDN w:val="0"/>
        <w:adjustRightInd w:val="0"/>
        <w:snapToGrid w:val="0"/>
        <w:spacing w:line="360" w:lineRule="auto"/>
        <w:ind w:firstLine="420" w:firstLineChars="200"/>
        <w:rPr>
          <w:rFonts w:ascii="仿宋" w:hAnsi="仿宋" w:eastAsia="仿宋" w:cs="Courier New"/>
          <w:color w:val="auto"/>
          <w:szCs w:val="21"/>
          <w:highlight w:val="none"/>
          <w:u w:val="single"/>
        </w:rPr>
      </w:pPr>
      <w:r>
        <w:rPr>
          <w:rFonts w:hint="eastAsia" w:ascii="仿宋" w:hAnsi="仿宋" w:eastAsia="仿宋" w:cs="Courier New"/>
          <w:color w:val="auto"/>
          <w:szCs w:val="21"/>
          <w:highlight w:val="none"/>
        </w:rPr>
        <w:t>（1）</w:t>
      </w:r>
      <w:r>
        <w:rPr>
          <w:rFonts w:hint="eastAsia" w:ascii="仿宋" w:hAnsi="仿宋" w:eastAsia="仿宋" w:cs="Courier New"/>
          <w:color w:val="auto"/>
          <w:szCs w:val="21"/>
          <w:highlight w:val="none"/>
          <w:u w:val="single"/>
        </w:rPr>
        <w:t>合同工程量为暂定工程量，结算时依据竣工图按实计算调整工程量；分部分项工程量清单综合单价按如下原则调整，调整后的单价包死，进度付款和结算按调整后的单价执行。</w:t>
      </w:r>
    </w:p>
    <w:p w14:paraId="0F129E2F">
      <w:pPr>
        <w:autoSpaceDE w:val="0"/>
        <w:autoSpaceDN w:val="0"/>
        <w:adjustRightInd w:val="0"/>
        <w:snapToGrid w:val="0"/>
        <w:spacing w:line="360" w:lineRule="auto"/>
        <w:ind w:firstLine="420" w:firstLineChars="200"/>
        <w:rPr>
          <w:rFonts w:ascii="仿宋" w:hAnsi="仿宋" w:eastAsia="仿宋" w:cs="Courier New"/>
          <w:color w:val="auto"/>
          <w:szCs w:val="21"/>
          <w:highlight w:val="none"/>
          <w:u w:val="single"/>
        </w:rPr>
      </w:pPr>
      <w:r>
        <w:rPr>
          <w:rFonts w:hint="eastAsia" w:ascii="仿宋" w:hAnsi="仿宋" w:eastAsia="仿宋" w:cs="Courier New"/>
          <w:color w:val="auto"/>
          <w:szCs w:val="21"/>
          <w:highlight w:val="none"/>
        </w:rPr>
        <w:fldChar w:fldCharType="begin"/>
      </w:r>
      <w:r>
        <w:rPr>
          <w:rFonts w:hint="eastAsia" w:ascii="仿宋" w:hAnsi="仿宋" w:eastAsia="仿宋" w:cs="Courier New"/>
          <w:color w:val="auto"/>
          <w:szCs w:val="21"/>
          <w:highlight w:val="none"/>
        </w:rPr>
        <w:instrText xml:space="preserve">eq \o\ac(</w:instrText>
      </w:r>
      <w:r>
        <w:rPr>
          <w:rFonts w:hint="eastAsia" w:ascii="仿宋" w:hAnsi="仿宋" w:eastAsia="仿宋" w:cs="Courier New"/>
          <w:color w:val="auto"/>
          <w:position w:val="-4"/>
          <w:sz w:val="31"/>
          <w:szCs w:val="21"/>
          <w:highlight w:val="none"/>
        </w:rPr>
        <w:instrText xml:space="preserve">○</w:instrText>
      </w:r>
      <w:r>
        <w:rPr>
          <w:rFonts w:hint="eastAsia" w:ascii="仿宋" w:hAnsi="仿宋" w:eastAsia="仿宋" w:cs="Courier New"/>
          <w:color w:val="auto"/>
          <w:szCs w:val="21"/>
          <w:highlight w:val="none"/>
        </w:rPr>
        <w:instrText xml:space="preserve">,1)</w:instrText>
      </w:r>
      <w:r>
        <w:rPr>
          <w:rFonts w:hint="eastAsia" w:ascii="仿宋" w:hAnsi="仿宋" w:eastAsia="仿宋" w:cs="Courier New"/>
          <w:color w:val="auto"/>
          <w:szCs w:val="21"/>
          <w:highlight w:val="none"/>
        </w:rPr>
        <w:fldChar w:fldCharType="end"/>
      </w:r>
      <w:r>
        <w:rPr>
          <w:rFonts w:hint="eastAsia" w:ascii="仿宋" w:hAnsi="仿宋" w:eastAsia="仿宋" w:cs="Courier New"/>
          <w:color w:val="auto"/>
          <w:szCs w:val="21"/>
          <w:highlight w:val="none"/>
          <w:u w:val="single"/>
        </w:rPr>
        <w:t>若相同清单项出现不同综合单价，则以综合单价最低的为准并调整其总价；</w:t>
      </w:r>
    </w:p>
    <w:p w14:paraId="41747F16">
      <w:pPr>
        <w:autoSpaceDE w:val="0"/>
        <w:autoSpaceDN w:val="0"/>
        <w:adjustRightInd w:val="0"/>
        <w:snapToGrid w:val="0"/>
        <w:spacing w:line="360" w:lineRule="auto"/>
        <w:ind w:firstLine="420" w:firstLineChars="200"/>
        <w:rPr>
          <w:rFonts w:ascii="仿宋" w:hAnsi="仿宋" w:eastAsia="仿宋" w:cs="Courier New"/>
          <w:color w:val="auto"/>
          <w:szCs w:val="21"/>
          <w:highlight w:val="none"/>
          <w:u w:val="single"/>
        </w:rPr>
      </w:pPr>
      <w:r>
        <w:rPr>
          <w:rFonts w:hint="eastAsia" w:ascii="仿宋" w:hAnsi="仿宋" w:eastAsia="仿宋" w:cs="Courier New"/>
          <w:color w:val="auto"/>
          <w:szCs w:val="21"/>
          <w:highlight w:val="none"/>
        </w:rPr>
        <w:fldChar w:fldCharType="begin"/>
      </w:r>
      <w:r>
        <w:rPr>
          <w:rFonts w:hint="eastAsia" w:ascii="仿宋" w:hAnsi="仿宋" w:eastAsia="仿宋" w:cs="Courier New"/>
          <w:color w:val="auto"/>
          <w:szCs w:val="21"/>
          <w:highlight w:val="none"/>
        </w:rPr>
        <w:instrText xml:space="preserve">eq \o\ac(</w:instrText>
      </w:r>
      <w:r>
        <w:rPr>
          <w:rFonts w:hint="eastAsia" w:ascii="仿宋" w:hAnsi="仿宋" w:eastAsia="仿宋" w:cs="Courier New"/>
          <w:color w:val="auto"/>
          <w:position w:val="-4"/>
          <w:sz w:val="31"/>
          <w:szCs w:val="21"/>
          <w:highlight w:val="none"/>
        </w:rPr>
        <w:instrText xml:space="preserve">○</w:instrText>
      </w:r>
      <w:r>
        <w:rPr>
          <w:rFonts w:hint="eastAsia" w:ascii="仿宋" w:hAnsi="仿宋" w:eastAsia="仿宋" w:cs="Courier New"/>
          <w:color w:val="auto"/>
          <w:szCs w:val="21"/>
          <w:highlight w:val="none"/>
        </w:rPr>
        <w:instrText xml:space="preserve">,2)</w:instrText>
      </w:r>
      <w:r>
        <w:rPr>
          <w:rFonts w:hint="eastAsia" w:ascii="仿宋" w:hAnsi="仿宋" w:eastAsia="仿宋" w:cs="Courier New"/>
          <w:color w:val="auto"/>
          <w:szCs w:val="21"/>
          <w:highlight w:val="none"/>
        </w:rPr>
        <w:fldChar w:fldCharType="end"/>
      </w:r>
      <w:r>
        <w:rPr>
          <w:rFonts w:hint="eastAsia" w:ascii="仿宋" w:hAnsi="仿宋" w:eastAsia="仿宋" w:cs="Courier New"/>
          <w:color w:val="auto"/>
          <w:szCs w:val="21"/>
          <w:highlight w:val="none"/>
          <w:u w:val="single"/>
        </w:rPr>
        <w:t>为合理控制工程造价，保证项目顺利实施，发包人有权纠正并调整承包人的不平衡报价并直接调整合同总价</w:t>
      </w:r>
      <w:r>
        <w:rPr>
          <w:rFonts w:hint="eastAsia" w:ascii="仿宋" w:hAnsi="仿宋" w:eastAsia="仿宋" w:cs="仿宋_GB2312"/>
          <w:color w:val="auto"/>
          <w:kern w:val="0"/>
          <w:szCs w:val="21"/>
          <w:highlight w:val="none"/>
          <w:u w:val="single"/>
        </w:rPr>
        <w:t>。</w:t>
      </w:r>
    </w:p>
    <w:p w14:paraId="37F60C10">
      <w:pPr>
        <w:tabs>
          <w:tab w:val="left" w:pos="0"/>
        </w:tabs>
        <w:adjustRightInd w:val="0"/>
        <w:snapToGrid w:val="0"/>
        <w:spacing w:line="360" w:lineRule="auto"/>
        <w:ind w:firstLine="424" w:firstLineChars="202"/>
        <w:rPr>
          <w:rFonts w:ascii="仿宋" w:hAnsi="仿宋" w:eastAsia="仿宋" w:cs="仿宋_GB2312"/>
          <w:color w:val="auto"/>
          <w:kern w:val="0"/>
          <w:szCs w:val="21"/>
          <w:highlight w:val="none"/>
          <w:u w:val="single"/>
        </w:rPr>
      </w:pPr>
      <w:r>
        <w:rPr>
          <w:rFonts w:hint="eastAsia" w:ascii="仿宋" w:hAnsi="仿宋" w:eastAsia="仿宋" w:cs="仿宋_GB2312"/>
          <w:color w:val="auto"/>
          <w:kern w:val="0"/>
          <w:szCs w:val="21"/>
          <w:highlight w:val="none"/>
        </w:rPr>
        <w:fldChar w:fldCharType="begin"/>
      </w:r>
      <w:r>
        <w:rPr>
          <w:rFonts w:hint="eastAsia" w:ascii="仿宋" w:hAnsi="仿宋" w:eastAsia="仿宋" w:cs="仿宋_GB2312"/>
          <w:color w:val="auto"/>
          <w:kern w:val="0"/>
          <w:szCs w:val="21"/>
          <w:highlight w:val="none"/>
        </w:rPr>
        <w:instrText xml:space="preserve">eq \o\ac(</w:instrText>
      </w:r>
      <w:r>
        <w:rPr>
          <w:rFonts w:hint="eastAsia" w:ascii="仿宋" w:hAnsi="仿宋" w:eastAsia="仿宋" w:cs="仿宋_GB2312"/>
          <w:color w:val="auto"/>
          <w:kern w:val="0"/>
          <w:position w:val="-4"/>
          <w:sz w:val="31"/>
          <w:szCs w:val="21"/>
          <w:highlight w:val="none"/>
        </w:rPr>
        <w:instrText xml:space="preserve">○</w:instrText>
      </w:r>
      <w:r>
        <w:rPr>
          <w:rFonts w:hint="eastAsia" w:ascii="仿宋" w:hAnsi="仿宋" w:eastAsia="仿宋" w:cs="仿宋_GB2312"/>
          <w:color w:val="auto"/>
          <w:kern w:val="0"/>
          <w:szCs w:val="21"/>
          <w:highlight w:val="none"/>
        </w:rPr>
        <w:instrText xml:space="preserve">,3)</w:instrText>
      </w:r>
      <w:r>
        <w:rPr>
          <w:rFonts w:hint="eastAsia" w:ascii="仿宋" w:hAnsi="仿宋" w:eastAsia="仿宋" w:cs="仿宋_GB2312"/>
          <w:color w:val="auto"/>
          <w:kern w:val="0"/>
          <w:szCs w:val="21"/>
          <w:highlight w:val="none"/>
        </w:rPr>
        <w:fldChar w:fldCharType="end"/>
      </w:r>
      <w:r>
        <w:rPr>
          <w:rFonts w:hint="eastAsia" w:ascii="仿宋" w:hAnsi="仿宋" w:eastAsia="仿宋" w:cs="仿宋_GB2312"/>
          <w:color w:val="auto"/>
          <w:kern w:val="0"/>
          <w:szCs w:val="21"/>
          <w:highlight w:val="none"/>
          <w:u w:val="single"/>
        </w:rPr>
        <w:t>单价分析表中的材料单价与磋商响应文件中磋商人采购供应主要材料设备价格表中的报价不符，则以最低者为准，并调整合同总价。</w:t>
      </w:r>
    </w:p>
    <w:p w14:paraId="08C9375F">
      <w:pPr>
        <w:tabs>
          <w:tab w:val="left" w:pos="0"/>
        </w:tabs>
        <w:adjustRightInd w:val="0"/>
        <w:snapToGrid w:val="0"/>
        <w:spacing w:line="360" w:lineRule="auto"/>
        <w:ind w:firstLine="420" w:firstLineChars="200"/>
        <w:rPr>
          <w:rFonts w:ascii="仿宋" w:hAnsi="仿宋" w:eastAsia="仿宋" w:cs="仿宋_GB2312"/>
          <w:color w:val="auto"/>
          <w:kern w:val="0"/>
          <w:szCs w:val="21"/>
          <w:highlight w:val="none"/>
          <w:u w:val="single"/>
        </w:rPr>
      </w:pPr>
      <w:r>
        <w:rPr>
          <w:rFonts w:hint="eastAsia" w:ascii="仿宋" w:hAnsi="仿宋" w:eastAsia="仿宋" w:cs="仿宋_GB2312"/>
          <w:color w:val="auto"/>
          <w:kern w:val="0"/>
          <w:szCs w:val="21"/>
          <w:highlight w:val="none"/>
        </w:rPr>
        <w:fldChar w:fldCharType="begin"/>
      </w:r>
      <w:r>
        <w:rPr>
          <w:rFonts w:hint="eastAsia" w:ascii="仿宋" w:hAnsi="仿宋" w:eastAsia="仿宋" w:cs="仿宋_GB2312"/>
          <w:color w:val="auto"/>
          <w:kern w:val="0"/>
          <w:szCs w:val="21"/>
          <w:highlight w:val="none"/>
        </w:rPr>
        <w:instrText xml:space="preserve">eq \o\ac(</w:instrText>
      </w:r>
      <w:r>
        <w:rPr>
          <w:rFonts w:hint="eastAsia" w:ascii="仿宋" w:hAnsi="仿宋" w:eastAsia="仿宋" w:cs="仿宋_GB2312"/>
          <w:color w:val="auto"/>
          <w:kern w:val="0"/>
          <w:position w:val="-4"/>
          <w:sz w:val="31"/>
          <w:szCs w:val="21"/>
          <w:highlight w:val="none"/>
        </w:rPr>
        <w:instrText xml:space="preserve">○</w:instrText>
      </w:r>
      <w:r>
        <w:rPr>
          <w:rFonts w:hint="eastAsia" w:ascii="仿宋" w:hAnsi="仿宋" w:eastAsia="仿宋" w:cs="仿宋_GB2312"/>
          <w:color w:val="auto"/>
          <w:kern w:val="0"/>
          <w:szCs w:val="21"/>
          <w:highlight w:val="none"/>
        </w:rPr>
        <w:instrText xml:space="preserve">,4)</w:instrText>
      </w:r>
      <w:r>
        <w:rPr>
          <w:rFonts w:hint="eastAsia" w:ascii="仿宋" w:hAnsi="仿宋" w:eastAsia="仿宋" w:cs="仿宋_GB2312"/>
          <w:color w:val="auto"/>
          <w:kern w:val="0"/>
          <w:szCs w:val="21"/>
          <w:highlight w:val="none"/>
        </w:rPr>
        <w:fldChar w:fldCharType="end"/>
      </w:r>
      <w:r>
        <w:rPr>
          <w:rFonts w:hint="eastAsia" w:ascii="仿宋" w:hAnsi="仿宋" w:eastAsia="仿宋" w:cs="仿宋_GB2312"/>
          <w:color w:val="auto"/>
          <w:kern w:val="0"/>
          <w:szCs w:val="21"/>
          <w:highlight w:val="none"/>
          <w:u w:val="single"/>
        </w:rPr>
        <w:t>单价分析表中所报单价与工程量清单中该项综合单价不符，则以最低者为准，并调整其合价。</w:t>
      </w:r>
    </w:p>
    <w:p w14:paraId="12FD171B">
      <w:pPr>
        <w:numPr>
          <w:ilvl w:val="0"/>
          <w:numId w:val="2"/>
        </w:num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s="仿宋_GB2312"/>
          <w:color w:val="auto"/>
          <w:kern w:val="0"/>
          <w:szCs w:val="21"/>
          <w:highlight w:val="none"/>
          <w:u w:val="single"/>
        </w:rPr>
        <w:t>措施费调整原则：</w:t>
      </w:r>
      <w:r>
        <w:rPr>
          <w:rFonts w:hint="eastAsia" w:ascii="仿宋" w:hAnsi="仿宋" w:eastAsia="仿宋"/>
          <w:color w:val="auto"/>
          <w:szCs w:val="21"/>
          <w:highlight w:val="none"/>
          <w:u w:val="single"/>
        </w:rPr>
        <w:t>除定额明确的费率计价项和非费率计价项中模板措施费外，其余措施项目清单全部包干，不因任何原因而调整。费率计价项的措施根据中标费率按实结算；非费率计价项中的模板措施费根据砼结算工程量按中标单价据实计算。</w:t>
      </w:r>
    </w:p>
    <w:p w14:paraId="3AAE293E">
      <w:pPr>
        <w:numPr>
          <w:ilvl w:val="0"/>
          <w:numId w:val="2"/>
        </w:numPr>
        <w:adjustRightInd w:val="0"/>
        <w:snapToGrid w:val="0"/>
        <w:spacing w:line="360" w:lineRule="auto"/>
        <w:ind w:firstLine="420" w:firstLineChars="200"/>
        <w:rPr>
          <w:rFonts w:ascii="仿宋" w:hAnsi="仿宋" w:eastAsia="仿宋" w:cs="仿宋_GB2312"/>
          <w:color w:val="auto"/>
          <w:kern w:val="0"/>
          <w:szCs w:val="21"/>
          <w:highlight w:val="none"/>
          <w:u w:val="single"/>
        </w:rPr>
      </w:pPr>
      <w:r>
        <w:rPr>
          <w:rFonts w:hint="eastAsia" w:ascii="仿宋" w:hAnsi="仿宋" w:eastAsia="仿宋" w:cs="仿宋_GB2312"/>
          <w:color w:val="auto"/>
          <w:kern w:val="0"/>
          <w:szCs w:val="21"/>
          <w:highlight w:val="none"/>
          <w:u w:val="single"/>
        </w:rPr>
        <w:t>本工程</w:t>
      </w:r>
      <w:r>
        <w:rPr>
          <w:rFonts w:hint="eastAsia" w:ascii="仿宋" w:hAnsi="仿宋" w:eastAsia="仿宋" w:cs="仿宋_GB2312"/>
          <w:color w:val="auto"/>
          <w:kern w:val="0"/>
          <w:szCs w:val="21"/>
          <w:highlight w:val="none"/>
          <w:u w:val="single"/>
          <w:lang w:val="en-US" w:eastAsia="zh-CN"/>
        </w:rPr>
        <w:t>预留</w:t>
      </w:r>
      <w:r>
        <w:rPr>
          <w:rFonts w:hint="eastAsia" w:ascii="仿宋" w:hAnsi="仿宋" w:eastAsia="仿宋" w:cs="仿宋_GB2312"/>
          <w:color w:val="auto"/>
          <w:kern w:val="0"/>
          <w:szCs w:val="21"/>
          <w:highlight w:val="none"/>
          <w:u w:val="single"/>
        </w:rPr>
        <w:t>金额为：</w:t>
      </w:r>
      <w:r>
        <w:rPr>
          <w:rFonts w:hint="eastAsia" w:ascii="仿宋" w:hAnsi="仿宋" w:eastAsia="仿宋" w:cs="仿宋_GB2312"/>
          <w:color w:val="auto"/>
          <w:kern w:val="0"/>
          <w:szCs w:val="21"/>
          <w:highlight w:val="none"/>
          <w:u w:val="single"/>
          <w:lang w:val="en-US" w:eastAsia="zh-CN"/>
        </w:rPr>
        <w:t>3</w:t>
      </w:r>
      <w:r>
        <w:rPr>
          <w:rFonts w:hint="eastAsia" w:ascii="仿宋" w:hAnsi="仿宋" w:eastAsia="仿宋" w:cs="仿宋_GB2312"/>
          <w:color w:val="auto"/>
          <w:kern w:val="0"/>
          <w:szCs w:val="21"/>
          <w:highlight w:val="none"/>
          <w:u w:val="single"/>
        </w:rPr>
        <w:t>万元。工程结算时按时调整，剩余部分仍归发包人所有。</w:t>
      </w:r>
    </w:p>
    <w:p w14:paraId="72041CAB">
      <w:pPr>
        <w:numPr>
          <w:ilvl w:val="0"/>
          <w:numId w:val="2"/>
        </w:numPr>
        <w:adjustRightInd w:val="0"/>
        <w:snapToGrid w:val="0"/>
        <w:spacing w:line="360" w:lineRule="auto"/>
        <w:ind w:firstLine="420" w:firstLineChars="200"/>
        <w:rPr>
          <w:rFonts w:ascii="仿宋" w:hAnsi="仿宋" w:eastAsia="仿宋" w:cs="仿宋_GB2312"/>
          <w:color w:val="auto"/>
          <w:kern w:val="0"/>
          <w:szCs w:val="21"/>
          <w:highlight w:val="none"/>
          <w:u w:val="single"/>
        </w:rPr>
      </w:pPr>
      <w:r>
        <w:rPr>
          <w:rFonts w:hint="eastAsia" w:ascii="仿宋" w:hAnsi="仿宋" w:eastAsia="仿宋"/>
          <w:color w:val="auto"/>
          <w:szCs w:val="21"/>
          <w:highlight w:val="none"/>
          <w:u w:val="single"/>
        </w:rPr>
        <w:t>发包人确认的设计变更依照合同约定进行调整。</w:t>
      </w:r>
    </w:p>
    <w:p w14:paraId="519402C4">
      <w:pPr>
        <w:adjustRightInd w:val="0"/>
        <w:snapToGrid w:val="0"/>
        <w:spacing w:line="360" w:lineRule="auto"/>
        <w:ind w:firstLine="420" w:firstLineChars="200"/>
        <w:rPr>
          <w:rFonts w:ascii="仿宋" w:hAnsi="仿宋" w:eastAsia="仿宋" w:cs="仿宋_GB2312"/>
          <w:color w:val="auto"/>
          <w:kern w:val="0"/>
          <w:szCs w:val="21"/>
          <w:highlight w:val="none"/>
        </w:rPr>
      </w:pPr>
      <w:r>
        <w:rPr>
          <w:rFonts w:hint="eastAsia" w:ascii="仿宋" w:hAnsi="仿宋" w:eastAsia="仿宋" w:cs="仿宋_GB2312"/>
          <w:color w:val="auto"/>
          <w:kern w:val="0"/>
          <w:szCs w:val="21"/>
          <w:highlight w:val="none"/>
        </w:rPr>
        <w:t>29.已完工程量确认</w:t>
      </w:r>
    </w:p>
    <w:p w14:paraId="655C4A2A">
      <w:pPr>
        <w:adjustRightInd w:val="0"/>
        <w:snapToGrid w:val="0"/>
        <w:spacing w:line="360" w:lineRule="auto"/>
        <w:ind w:firstLine="420" w:firstLineChars="200"/>
        <w:rPr>
          <w:rFonts w:ascii="仿宋" w:hAnsi="仿宋" w:eastAsia="仿宋" w:cs="仿宋_GB2312"/>
          <w:color w:val="auto"/>
          <w:kern w:val="0"/>
          <w:szCs w:val="21"/>
          <w:highlight w:val="none"/>
        </w:rPr>
      </w:pPr>
      <w:r>
        <w:rPr>
          <w:rFonts w:hint="eastAsia" w:ascii="仿宋" w:hAnsi="仿宋" w:eastAsia="仿宋" w:cs="仿宋_GB2312"/>
          <w:color w:val="auto"/>
          <w:kern w:val="0"/>
          <w:szCs w:val="21"/>
          <w:highlight w:val="none"/>
        </w:rPr>
        <w:t>29.1承包人向工程师提交已完工程量报告的时间：每月25日。</w:t>
      </w:r>
    </w:p>
    <w:p w14:paraId="25CCA1BC">
      <w:pPr>
        <w:adjustRightInd w:val="0"/>
        <w:snapToGrid w:val="0"/>
        <w:spacing w:line="360" w:lineRule="auto"/>
        <w:ind w:firstLine="420" w:firstLineChars="200"/>
        <w:rPr>
          <w:rFonts w:ascii="仿宋" w:hAnsi="仿宋" w:eastAsia="仿宋" w:cs="仿宋_GB2312"/>
          <w:color w:val="auto"/>
          <w:kern w:val="0"/>
          <w:szCs w:val="21"/>
          <w:highlight w:val="none"/>
        </w:rPr>
      </w:pPr>
      <w:r>
        <w:rPr>
          <w:rFonts w:hint="eastAsia" w:ascii="仿宋" w:hAnsi="仿宋" w:eastAsia="仿宋" w:cs="仿宋_GB2312"/>
          <w:color w:val="auto"/>
          <w:kern w:val="0"/>
          <w:szCs w:val="21"/>
          <w:highlight w:val="none"/>
        </w:rPr>
        <w:t>30.工程进度款结算与支付</w:t>
      </w:r>
    </w:p>
    <w:p w14:paraId="26FF5BFF">
      <w:pPr>
        <w:spacing w:line="360" w:lineRule="auto"/>
        <w:ind w:firstLine="420" w:firstLineChars="200"/>
        <w:rPr>
          <w:rFonts w:ascii="仿宋" w:hAnsi="仿宋" w:eastAsia="仿宋" w:cs="仿宋_GB2312"/>
          <w:bCs/>
          <w:color w:val="auto"/>
          <w:kern w:val="0"/>
          <w:szCs w:val="21"/>
          <w:highlight w:val="none"/>
        </w:rPr>
      </w:pPr>
      <w:r>
        <w:rPr>
          <w:rFonts w:hint="eastAsia" w:ascii="仿宋" w:hAnsi="仿宋" w:eastAsia="仿宋" w:cs="仿宋_GB2312"/>
          <w:bCs/>
          <w:color w:val="auto"/>
          <w:kern w:val="0"/>
          <w:szCs w:val="21"/>
          <w:highlight w:val="none"/>
        </w:rPr>
        <w:t>30.1双方约定的工程进度款支付的方式、时间和比例是：</w:t>
      </w:r>
    </w:p>
    <w:p w14:paraId="439D43AE">
      <w:pPr>
        <w:numPr>
          <w:ilvl w:val="0"/>
          <w:numId w:val="3"/>
        </w:numPr>
        <w:spacing w:line="360" w:lineRule="auto"/>
        <w:ind w:firstLine="420" w:firstLineChars="200"/>
        <w:rPr>
          <w:rFonts w:ascii="仿宋" w:hAnsi="仿宋" w:eastAsia="仿宋" w:cs="仿宋_GB2312"/>
          <w:bCs/>
          <w:color w:val="auto"/>
          <w:kern w:val="0"/>
          <w:szCs w:val="21"/>
          <w:highlight w:val="none"/>
        </w:rPr>
      </w:pPr>
      <w:r>
        <w:rPr>
          <w:rFonts w:hint="eastAsia" w:ascii="仿宋" w:hAnsi="仿宋" w:eastAsia="仿宋" w:cs="仿宋_GB2312"/>
          <w:bCs/>
          <w:color w:val="auto"/>
          <w:kern w:val="0"/>
          <w:szCs w:val="21"/>
          <w:highlight w:val="none"/>
        </w:rPr>
        <w:t>工程进度款支付的方式：银行转帐，转入承包方指定银行。</w:t>
      </w:r>
    </w:p>
    <w:p w14:paraId="2477F22B">
      <w:pPr>
        <w:numPr>
          <w:ilvl w:val="0"/>
          <w:numId w:val="3"/>
        </w:numPr>
        <w:spacing w:line="360" w:lineRule="auto"/>
        <w:ind w:firstLine="420" w:firstLineChars="200"/>
        <w:rPr>
          <w:rFonts w:ascii="仿宋" w:hAnsi="仿宋" w:eastAsia="仿宋" w:cs="仿宋_GB2312"/>
          <w:bCs/>
          <w:color w:val="auto"/>
          <w:kern w:val="0"/>
          <w:szCs w:val="21"/>
          <w:highlight w:val="none"/>
        </w:rPr>
      </w:pPr>
      <w:r>
        <w:rPr>
          <w:rFonts w:hint="eastAsia" w:ascii="仿宋" w:hAnsi="仿宋" w:eastAsia="仿宋" w:cs="仿宋_GB2312"/>
          <w:bCs/>
          <w:color w:val="auto"/>
          <w:kern w:val="0"/>
          <w:szCs w:val="21"/>
          <w:highlight w:val="none"/>
        </w:rPr>
        <w:t>工程预付款支付：依据发包人的开工指令，发包人在开工前7日内向承包人支付合同暂定总价款（包含安全文明施工措施费）的60%作为工程预付款，工程预付款中包含合同暂定总价款中的安全防护、文明施工措施费的100%金额，安全防护、文明施工措施费承包人必须专款专用，达到付款条件起10日内，支付合同总金额的60.00%。</w:t>
      </w:r>
    </w:p>
    <w:p w14:paraId="40DCC11C">
      <w:pPr>
        <w:numPr>
          <w:ilvl w:val="0"/>
          <w:numId w:val="0"/>
        </w:numPr>
        <w:spacing w:line="360" w:lineRule="auto"/>
        <w:ind w:firstLine="420" w:firstLineChars="200"/>
        <w:rPr>
          <w:rFonts w:ascii="仿宋" w:hAnsi="仿宋" w:eastAsia="仿宋" w:cs="仿宋_GB2312"/>
          <w:bCs/>
          <w:color w:val="auto"/>
          <w:kern w:val="0"/>
          <w:szCs w:val="21"/>
          <w:highlight w:val="none"/>
        </w:rPr>
      </w:pPr>
      <w:r>
        <w:rPr>
          <w:rFonts w:hint="eastAsia" w:ascii="仿宋" w:hAnsi="仿宋" w:eastAsia="仿宋" w:cs="仿宋_GB2312"/>
          <w:bCs/>
          <w:color w:val="auto"/>
          <w:kern w:val="0"/>
          <w:szCs w:val="21"/>
          <w:highlight w:val="none"/>
          <w:lang w:val="en-US" w:eastAsia="zh-CN"/>
        </w:rPr>
        <w:t>3）</w:t>
      </w:r>
      <w:r>
        <w:rPr>
          <w:rFonts w:hint="eastAsia" w:ascii="仿宋" w:hAnsi="仿宋" w:eastAsia="仿宋" w:cs="仿宋_GB2312"/>
          <w:bCs/>
          <w:color w:val="auto"/>
          <w:kern w:val="0"/>
          <w:szCs w:val="21"/>
          <w:highlight w:val="none"/>
        </w:rPr>
        <w:t>工程进度款支付：因本项目工期较短，施工过程中不支付进度款，工程全部完成后，经发包人确认，达到付款条件起10日内，支付合同总金额的20.00%。</w:t>
      </w:r>
    </w:p>
    <w:p w14:paraId="2FC94A50">
      <w:pPr>
        <w:numPr>
          <w:ilvl w:val="0"/>
          <w:numId w:val="0"/>
        </w:numPr>
        <w:spacing w:line="360" w:lineRule="auto"/>
        <w:ind w:firstLine="420" w:firstLineChars="200"/>
        <w:rPr>
          <w:rFonts w:hint="eastAsia" w:ascii="仿宋" w:hAnsi="仿宋" w:eastAsia="仿宋" w:cs="仿宋_GB2312"/>
          <w:bCs/>
          <w:color w:val="auto"/>
          <w:kern w:val="0"/>
          <w:szCs w:val="21"/>
          <w:highlight w:val="none"/>
          <w:lang w:eastAsia="zh-CN"/>
        </w:rPr>
      </w:pPr>
      <w:r>
        <w:rPr>
          <w:rFonts w:hint="eastAsia" w:ascii="仿宋" w:hAnsi="仿宋" w:eastAsia="仿宋" w:cs="仿宋_GB2312"/>
          <w:bCs/>
          <w:color w:val="auto"/>
          <w:kern w:val="0"/>
          <w:szCs w:val="21"/>
          <w:highlight w:val="none"/>
          <w:lang w:val="en-US" w:eastAsia="zh-CN"/>
        </w:rPr>
        <w:t>4</w:t>
      </w:r>
      <w:r>
        <w:rPr>
          <w:rFonts w:hint="eastAsia" w:ascii="仿宋" w:hAnsi="仿宋" w:eastAsia="仿宋" w:cs="仿宋_GB2312"/>
          <w:bCs/>
          <w:color w:val="auto"/>
          <w:kern w:val="0"/>
          <w:szCs w:val="21"/>
          <w:highlight w:val="none"/>
          <w:lang w:eastAsia="zh-CN"/>
        </w:rPr>
        <w:t>）</w:t>
      </w:r>
      <w:r>
        <w:rPr>
          <w:rFonts w:hint="eastAsia" w:ascii="仿宋" w:hAnsi="仿宋" w:eastAsia="仿宋" w:cs="仿宋_GB2312"/>
          <w:bCs/>
          <w:color w:val="auto"/>
          <w:kern w:val="0"/>
          <w:szCs w:val="21"/>
          <w:highlight w:val="none"/>
        </w:rPr>
        <w:t>竣工结算：竣工验收通过后，承包人必须在合同约定时间内向发包人提交工程结算报告，提交发包人办理结算审核，发包人指定的审计单位（财政）依照本合同所确定的计价原则进行财政审计，财政审计结果作为最终结算依据。待工程竣工结算审计完毕、并按税法规定完税提供合法发票后半月内付至竣工结算造价的100%，达到付款条件起30日内，支付合同总金额的20.00%。</w:t>
      </w:r>
    </w:p>
    <w:p w14:paraId="544DBDC8">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七、材料设备供应</w:t>
      </w:r>
    </w:p>
    <w:p w14:paraId="3CB78C8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31、发包人供应材料设备</w:t>
      </w:r>
    </w:p>
    <w:p w14:paraId="28C05937">
      <w:pPr>
        <w:autoSpaceDE w:val="0"/>
        <w:autoSpaceDN w:val="0"/>
        <w:adjustRightInd w:val="0"/>
        <w:snapToGrid w:val="0"/>
        <w:spacing w:line="360" w:lineRule="auto"/>
        <w:ind w:left="199" w:leftChars="95" w:firstLine="210" w:firstLineChars="100"/>
        <w:jc w:val="left"/>
        <w:rPr>
          <w:rFonts w:ascii="仿宋" w:hAnsi="仿宋" w:eastAsia="仿宋"/>
          <w:color w:val="auto"/>
          <w:kern w:val="0"/>
          <w:szCs w:val="21"/>
          <w:highlight w:val="none"/>
        </w:rPr>
      </w:pPr>
      <w:r>
        <w:rPr>
          <w:rFonts w:hint="eastAsia" w:ascii="仿宋" w:hAnsi="仿宋" w:eastAsia="仿宋"/>
          <w:color w:val="auto"/>
          <w:kern w:val="0"/>
          <w:szCs w:val="21"/>
          <w:highlight w:val="none"/>
        </w:rPr>
        <w:t>31.4发包人供应的材料设备与一览表不符时，双方约定发包人承担责任如下：</w:t>
      </w:r>
    </w:p>
    <w:p w14:paraId="5A4058F1">
      <w:pPr>
        <w:autoSpaceDE w:val="0"/>
        <w:autoSpaceDN w:val="0"/>
        <w:adjustRightInd w:val="0"/>
        <w:snapToGrid w:val="0"/>
        <w:spacing w:line="360" w:lineRule="auto"/>
        <w:ind w:left="200"/>
        <w:jc w:val="left"/>
        <w:rPr>
          <w:rFonts w:ascii="仿宋" w:hAnsi="仿宋" w:eastAsia="仿宋"/>
          <w:color w:val="auto"/>
          <w:kern w:val="0"/>
          <w:szCs w:val="21"/>
          <w:highlight w:val="none"/>
        </w:rPr>
      </w:pPr>
      <w:r>
        <w:rPr>
          <w:rFonts w:hint="eastAsia" w:ascii="仿宋" w:hAnsi="仿宋" w:eastAsia="仿宋"/>
          <w:color w:val="auto"/>
          <w:kern w:val="0"/>
          <w:szCs w:val="21"/>
          <w:highlight w:val="none"/>
        </w:rPr>
        <w:t>（1）材料设备单价与一览表不符：</w:t>
      </w:r>
      <w:r>
        <w:rPr>
          <w:rFonts w:hint="eastAsia" w:ascii="仿宋" w:hAnsi="仿宋" w:eastAsia="仿宋"/>
          <w:color w:val="auto"/>
          <w:kern w:val="0"/>
          <w:szCs w:val="21"/>
          <w:highlight w:val="none"/>
          <w:u w:val="single"/>
        </w:rPr>
        <w:t xml:space="preserve"> /   </w:t>
      </w:r>
      <w:r>
        <w:rPr>
          <w:rFonts w:hint="eastAsia" w:ascii="仿宋" w:hAnsi="仿宋" w:eastAsia="仿宋"/>
          <w:color w:val="auto"/>
          <w:kern w:val="0"/>
          <w:szCs w:val="21"/>
          <w:highlight w:val="none"/>
        </w:rPr>
        <w:t xml:space="preserve"> 。 </w:t>
      </w:r>
    </w:p>
    <w:p w14:paraId="59CA0F44">
      <w:pPr>
        <w:autoSpaceDE w:val="0"/>
        <w:autoSpaceDN w:val="0"/>
        <w:adjustRightInd w:val="0"/>
        <w:snapToGrid w:val="0"/>
        <w:spacing w:line="360" w:lineRule="auto"/>
        <w:ind w:left="200"/>
        <w:jc w:val="left"/>
        <w:rPr>
          <w:rFonts w:ascii="仿宋" w:hAnsi="仿宋" w:eastAsia="仿宋"/>
          <w:color w:val="auto"/>
          <w:kern w:val="0"/>
          <w:szCs w:val="21"/>
          <w:highlight w:val="none"/>
        </w:rPr>
      </w:pPr>
      <w:r>
        <w:rPr>
          <w:rFonts w:hint="eastAsia" w:ascii="仿宋" w:hAnsi="仿宋" w:eastAsia="仿宋"/>
          <w:color w:val="auto"/>
          <w:kern w:val="0"/>
          <w:szCs w:val="21"/>
          <w:highlight w:val="none"/>
        </w:rPr>
        <w:t>（2）材料设备的品种、规格、型号、质量等级与一览表不符：</w:t>
      </w:r>
      <w:r>
        <w:rPr>
          <w:rFonts w:hint="eastAsia" w:ascii="仿宋" w:hAnsi="仿宋" w:eastAsia="仿宋"/>
          <w:color w:val="auto"/>
          <w:kern w:val="0"/>
          <w:szCs w:val="21"/>
          <w:highlight w:val="none"/>
          <w:u w:val="single"/>
        </w:rPr>
        <w:t>若没有能说明原因的报告、工程变更，施工单位可拒接。</w:t>
      </w:r>
    </w:p>
    <w:p w14:paraId="56D6BB78">
      <w:pPr>
        <w:autoSpaceDE w:val="0"/>
        <w:autoSpaceDN w:val="0"/>
        <w:adjustRightInd w:val="0"/>
        <w:snapToGrid w:val="0"/>
        <w:spacing w:line="360" w:lineRule="auto"/>
        <w:ind w:left="200"/>
        <w:jc w:val="left"/>
        <w:rPr>
          <w:rFonts w:ascii="仿宋" w:hAnsi="仿宋" w:eastAsia="仿宋"/>
          <w:color w:val="auto"/>
          <w:kern w:val="0"/>
          <w:szCs w:val="21"/>
          <w:highlight w:val="none"/>
        </w:rPr>
      </w:pPr>
      <w:r>
        <w:rPr>
          <w:rFonts w:hint="eastAsia" w:ascii="仿宋" w:hAnsi="仿宋" w:eastAsia="仿宋"/>
          <w:color w:val="auto"/>
          <w:kern w:val="0"/>
          <w:szCs w:val="21"/>
          <w:highlight w:val="none"/>
        </w:rPr>
        <w:t>（3）承包人可代为调剂串换的材料：</w:t>
      </w:r>
      <w:r>
        <w:rPr>
          <w:rFonts w:hint="eastAsia" w:ascii="仿宋" w:hAnsi="仿宋" w:eastAsia="仿宋"/>
          <w:color w:val="auto"/>
          <w:kern w:val="0"/>
          <w:szCs w:val="21"/>
          <w:highlight w:val="none"/>
          <w:u w:val="single"/>
        </w:rPr>
        <w:t>需征得发包人同意。</w:t>
      </w:r>
    </w:p>
    <w:p w14:paraId="4D46B0C0">
      <w:pPr>
        <w:autoSpaceDE w:val="0"/>
        <w:autoSpaceDN w:val="0"/>
        <w:adjustRightInd w:val="0"/>
        <w:snapToGrid w:val="0"/>
        <w:spacing w:line="360" w:lineRule="auto"/>
        <w:ind w:left="200"/>
        <w:jc w:val="left"/>
        <w:rPr>
          <w:rFonts w:ascii="仿宋" w:hAnsi="仿宋" w:eastAsia="仿宋"/>
          <w:color w:val="auto"/>
          <w:kern w:val="0"/>
          <w:szCs w:val="21"/>
          <w:highlight w:val="none"/>
        </w:rPr>
      </w:pPr>
      <w:r>
        <w:rPr>
          <w:rFonts w:hint="eastAsia" w:ascii="仿宋" w:hAnsi="仿宋" w:eastAsia="仿宋"/>
          <w:color w:val="auto"/>
          <w:kern w:val="0"/>
          <w:szCs w:val="21"/>
          <w:highlight w:val="none"/>
        </w:rPr>
        <w:t>（4）到货地点与一览表不符：</w:t>
      </w:r>
      <w:r>
        <w:rPr>
          <w:rFonts w:hint="eastAsia" w:ascii="仿宋" w:hAnsi="仿宋" w:eastAsia="仿宋"/>
          <w:color w:val="auto"/>
          <w:kern w:val="0"/>
          <w:szCs w:val="21"/>
          <w:highlight w:val="none"/>
          <w:u w:val="single"/>
        </w:rPr>
        <w:t>施工单位可拒接。</w:t>
      </w:r>
    </w:p>
    <w:p w14:paraId="319B6129">
      <w:pPr>
        <w:autoSpaceDE w:val="0"/>
        <w:autoSpaceDN w:val="0"/>
        <w:adjustRightInd w:val="0"/>
        <w:snapToGrid w:val="0"/>
        <w:spacing w:line="360" w:lineRule="auto"/>
        <w:ind w:left="200"/>
        <w:jc w:val="left"/>
        <w:rPr>
          <w:rFonts w:ascii="仿宋" w:hAnsi="仿宋" w:eastAsia="仿宋"/>
          <w:color w:val="auto"/>
          <w:kern w:val="0"/>
          <w:szCs w:val="21"/>
          <w:highlight w:val="none"/>
        </w:rPr>
      </w:pPr>
      <w:r>
        <w:rPr>
          <w:rFonts w:hint="eastAsia" w:ascii="仿宋" w:hAnsi="仿宋" w:eastAsia="仿宋"/>
          <w:color w:val="auto"/>
          <w:kern w:val="0"/>
          <w:szCs w:val="21"/>
          <w:highlight w:val="none"/>
        </w:rPr>
        <w:t>（5）供应数量与一览表不符：</w:t>
      </w:r>
      <w:r>
        <w:rPr>
          <w:rFonts w:hint="eastAsia" w:ascii="仿宋" w:hAnsi="仿宋" w:eastAsia="仿宋"/>
          <w:color w:val="auto"/>
          <w:kern w:val="0"/>
          <w:szCs w:val="21"/>
          <w:highlight w:val="none"/>
          <w:u w:val="single"/>
        </w:rPr>
        <w:t>以承包单位的材料需求计划为准。</w:t>
      </w:r>
    </w:p>
    <w:p w14:paraId="26DCAD41">
      <w:pPr>
        <w:autoSpaceDE w:val="0"/>
        <w:autoSpaceDN w:val="0"/>
        <w:adjustRightInd w:val="0"/>
        <w:snapToGrid w:val="0"/>
        <w:spacing w:line="360" w:lineRule="auto"/>
        <w:ind w:left="200"/>
        <w:jc w:val="left"/>
        <w:rPr>
          <w:rFonts w:ascii="仿宋" w:hAnsi="仿宋" w:eastAsia="仿宋"/>
          <w:color w:val="auto"/>
          <w:kern w:val="0"/>
          <w:szCs w:val="21"/>
          <w:highlight w:val="none"/>
        </w:rPr>
      </w:pPr>
      <w:r>
        <w:rPr>
          <w:rFonts w:hint="eastAsia" w:ascii="仿宋" w:hAnsi="仿宋" w:eastAsia="仿宋"/>
          <w:color w:val="auto"/>
          <w:kern w:val="0"/>
          <w:szCs w:val="21"/>
          <w:highlight w:val="none"/>
        </w:rPr>
        <w:t>（6）到货时间与一览表不符：</w:t>
      </w:r>
      <w:r>
        <w:rPr>
          <w:rFonts w:hint="eastAsia" w:ascii="仿宋" w:hAnsi="仿宋" w:eastAsia="仿宋"/>
          <w:color w:val="auto"/>
          <w:kern w:val="0"/>
          <w:szCs w:val="21"/>
          <w:highlight w:val="none"/>
          <w:u w:val="single"/>
        </w:rPr>
        <w:t>以承包单位的材料需求计划为准，若到货时间影响了工期，由监理工程师核实后，准予顺延工期。</w:t>
      </w:r>
    </w:p>
    <w:p w14:paraId="5FE6DD9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32、承包人采购材料设备</w:t>
      </w:r>
    </w:p>
    <w:p w14:paraId="42BF60D7">
      <w:pPr>
        <w:kinsoku w:val="0"/>
        <w:overflowPunct w:val="0"/>
        <w:adjustRightInd w:val="0"/>
        <w:snapToGrid w:val="0"/>
        <w:spacing w:line="360" w:lineRule="auto"/>
        <w:ind w:firstLine="420" w:firstLineChars="200"/>
        <w:rPr>
          <w:rFonts w:ascii="仿宋" w:hAnsi="仿宋" w:eastAsia="仿宋"/>
          <w:color w:val="auto"/>
          <w:szCs w:val="21"/>
          <w:highlight w:val="none"/>
        </w:rPr>
      </w:pPr>
      <w:r>
        <w:rPr>
          <w:rFonts w:hint="eastAsia" w:ascii="仿宋" w:hAnsi="仿宋" w:eastAsia="仿宋"/>
          <w:color w:val="auto"/>
          <w:kern w:val="0"/>
          <w:szCs w:val="21"/>
          <w:highlight w:val="none"/>
        </w:rPr>
        <w:t>32.1承包人采购材料设备的约定：</w:t>
      </w:r>
    </w:p>
    <w:p w14:paraId="1FD83950">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u w:val="single"/>
        </w:rPr>
        <w:t>承包人必须严格按施工图约定及合同要求选择材料。采购前报监理单位和建设单位的相关部门批准后，方可进行采购。所选材料必须是符合国家行业部门检测的合格产品，符合国家环境污染控制有关规范，具备出厂证明、质量检验证、产品合格证及相关检验证明。在使用前报监理单位和建设单位确认后方可用于工程，否则按照不合格产品对待，由此造成的经济损失由承包人承担。</w:t>
      </w:r>
    </w:p>
    <w:p w14:paraId="6EA9BABD">
      <w:pPr>
        <w:adjustRightInd w:val="0"/>
        <w:snapToGrid w:val="0"/>
        <w:spacing w:line="360" w:lineRule="auto"/>
        <w:ind w:firstLine="420" w:firstLineChars="200"/>
        <w:rPr>
          <w:rFonts w:ascii="仿宋" w:hAnsi="仿宋" w:eastAsia="仿宋" w:cs="仿宋_GB2312"/>
          <w:color w:val="auto"/>
          <w:kern w:val="0"/>
          <w:szCs w:val="21"/>
          <w:highlight w:val="none"/>
          <w:u w:val="single"/>
        </w:rPr>
      </w:pPr>
      <w:r>
        <w:rPr>
          <w:rFonts w:hint="eastAsia" w:ascii="仿宋" w:hAnsi="仿宋" w:eastAsia="仿宋" w:cs="仿宋_GB2312"/>
          <w:color w:val="auto"/>
          <w:kern w:val="0"/>
          <w:szCs w:val="21"/>
          <w:highlight w:val="none"/>
          <w:u w:val="single"/>
        </w:rPr>
        <w:t>对承包人采购的材料，发包人有权自行采购和指定采购，但需在采购前提前书面通知承包人，承包人不再就该部分材料进行采购。</w:t>
      </w:r>
    </w:p>
    <w:p w14:paraId="19407086">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八、工程变更</w:t>
      </w:r>
    </w:p>
    <w:p w14:paraId="3A50E421">
      <w:pPr>
        <w:adjustRightInd w:val="0"/>
        <w:snapToGrid w:val="0"/>
        <w:spacing w:line="360" w:lineRule="auto"/>
        <w:ind w:firstLine="525" w:firstLineChars="250"/>
        <w:rPr>
          <w:rFonts w:ascii="仿宋" w:hAnsi="仿宋" w:eastAsia="仿宋"/>
          <w:color w:val="auto"/>
          <w:szCs w:val="21"/>
          <w:highlight w:val="none"/>
          <w:u w:val="single"/>
        </w:rPr>
      </w:pPr>
      <w:r>
        <w:rPr>
          <w:rFonts w:hint="eastAsia" w:ascii="仿宋" w:hAnsi="仿宋" w:eastAsia="仿宋"/>
          <w:color w:val="auto"/>
          <w:szCs w:val="21"/>
          <w:highlight w:val="none"/>
          <w:u w:val="single"/>
        </w:rPr>
        <w:t>承包人在工程变更、签证确定后14天内，提出变更、签证工程价款的报告，经监理工程师确认报发包人确认后调整合同暂定价款。变更、签证合同价款按下列方法确定：</w:t>
      </w:r>
    </w:p>
    <w:p w14:paraId="7C2849EE">
      <w:pPr>
        <w:overflowPunct w:val="0"/>
        <w:adjustRightInd w:val="0"/>
        <w:snapToGrid w:val="0"/>
        <w:spacing w:line="360" w:lineRule="auto"/>
        <w:ind w:firstLine="407" w:firstLineChars="194"/>
        <w:rPr>
          <w:rFonts w:ascii="仿宋" w:hAnsi="仿宋" w:eastAsia="仿宋"/>
          <w:color w:val="auto"/>
          <w:szCs w:val="21"/>
          <w:highlight w:val="none"/>
          <w:u w:val="single"/>
        </w:rPr>
      </w:pPr>
      <w:r>
        <w:rPr>
          <w:rFonts w:hint="eastAsia" w:ascii="仿宋" w:hAnsi="仿宋" w:eastAsia="仿宋"/>
          <w:color w:val="auto"/>
          <w:szCs w:val="21"/>
          <w:highlight w:val="none"/>
        </w:rPr>
        <w:t>（1）</w:t>
      </w:r>
      <w:r>
        <w:rPr>
          <w:rFonts w:hint="eastAsia" w:ascii="仿宋" w:hAnsi="仿宋" w:eastAsia="仿宋"/>
          <w:color w:val="auto"/>
          <w:szCs w:val="21"/>
          <w:highlight w:val="none"/>
          <w:u w:val="single"/>
        </w:rPr>
        <w:t>合同中已有适用于变更、签证工程的价格，按相应项目合同已确认的综合单价办理结算；</w:t>
      </w:r>
    </w:p>
    <w:p w14:paraId="03D4D4FE">
      <w:pPr>
        <w:overflowPunct w:val="0"/>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rPr>
        <w:t>（2）</w:t>
      </w:r>
      <w:r>
        <w:rPr>
          <w:rFonts w:hint="eastAsia" w:ascii="仿宋" w:hAnsi="仿宋" w:eastAsia="仿宋"/>
          <w:color w:val="auto"/>
          <w:szCs w:val="21"/>
          <w:highlight w:val="none"/>
          <w:u w:val="single"/>
        </w:rPr>
        <w:t>合同中只有类似于变更、签证工程的价格，只调整相应的主材费，主材单价按磋商响应文件主材价格计算，若磋商响应文件中无主材单价时，按发包人认定价格进行调整；</w:t>
      </w:r>
    </w:p>
    <w:p w14:paraId="124A18C7">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rPr>
        <w:t>（3）</w:t>
      </w:r>
      <w:r>
        <w:rPr>
          <w:rFonts w:hint="eastAsia" w:ascii="仿宋" w:hAnsi="仿宋" w:eastAsia="仿宋"/>
          <w:color w:val="auto"/>
          <w:szCs w:val="21"/>
          <w:highlight w:val="none"/>
          <w:u w:val="single"/>
        </w:rPr>
        <w:t>合同中没有适用或类似于工程变更、签证的价格，由承包人按磋商文件编制上限控制价综合单价的原则组价,并下浮中标优惠比例确定综合单价(发包人认质认价的材料设备价不下浮)；</w:t>
      </w:r>
    </w:p>
    <w:p w14:paraId="30174290">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rPr>
        <w:t>（4）</w:t>
      </w:r>
      <w:r>
        <w:rPr>
          <w:rFonts w:hint="eastAsia" w:ascii="仿宋" w:hAnsi="仿宋" w:eastAsia="仿宋"/>
          <w:color w:val="auto"/>
          <w:szCs w:val="21"/>
          <w:highlight w:val="none"/>
          <w:u w:val="single"/>
        </w:rPr>
        <w:t>变更、签证工程的措施项目费调整原则按27.1（2）规定。</w:t>
      </w:r>
    </w:p>
    <w:p w14:paraId="03243A7F">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九、竣工验收与结算</w:t>
      </w:r>
    </w:p>
    <w:p w14:paraId="45DC8F3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36、竣工验收</w:t>
      </w:r>
    </w:p>
    <w:p w14:paraId="79BB4AC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36.1承包人提供竣工图的约定：</w:t>
      </w:r>
      <w:r>
        <w:rPr>
          <w:rFonts w:hint="eastAsia" w:ascii="仿宋" w:hAnsi="仿宋" w:eastAsia="仿宋"/>
          <w:color w:val="auto"/>
          <w:szCs w:val="21"/>
          <w:highlight w:val="none"/>
          <w:u w:val="single"/>
        </w:rPr>
        <w:t>工程竣工后承包人除按照建设部《城市建设档案管理规定》向城建档案馆备案外，还应在工程竣工后14日内向发包人提供完整的竣工图纸和伍套竣工结算及其他资料，不另计取费用。</w:t>
      </w:r>
    </w:p>
    <w:p w14:paraId="34347987">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36.6中间交工工程的范围和竣工时间：</w:t>
      </w:r>
      <w:r>
        <w:rPr>
          <w:rFonts w:hint="eastAsia" w:ascii="仿宋" w:hAnsi="仿宋" w:eastAsia="仿宋"/>
          <w:color w:val="auto"/>
          <w:szCs w:val="21"/>
          <w:highlight w:val="none"/>
          <w:u w:val="single"/>
        </w:rPr>
        <w:t>竣工时间以发包人组织的竣工验收合格日期为准。</w:t>
      </w:r>
    </w:p>
    <w:p w14:paraId="59237F1F">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37、竣工结算</w:t>
      </w:r>
    </w:p>
    <w:p w14:paraId="5924C591">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结算审查期限：已完工程经验收合格后，承包人应在60天内将完整的工程结算资料（含四套竣工图）报送监理人，监理人应在30日内对所送结算资料的完整性、正确性审核无误并对价款进行初审后报送发包人，发包人在收到完整无缺的结算资料后90天内审核完毕，或提出审核意见。②承包人在竣工后60天内不报送结算，</w:t>
      </w:r>
      <w:r>
        <w:rPr>
          <w:rFonts w:hint="eastAsia" w:ascii="仿宋" w:hAnsi="仿宋" w:eastAsia="仿宋"/>
          <w:color w:val="auto"/>
          <w:szCs w:val="21"/>
          <w:highlight w:val="none"/>
        </w:rPr>
        <w:t>发包人有权罚款</w:t>
      </w:r>
      <w:r>
        <w:rPr>
          <w:rFonts w:hint="eastAsia" w:ascii="仿宋" w:hAnsi="仿宋" w:eastAsia="仿宋"/>
          <w:color w:val="auto"/>
          <w:kern w:val="0"/>
          <w:szCs w:val="21"/>
          <w:highlight w:val="none"/>
        </w:rPr>
        <w:t>。</w:t>
      </w:r>
    </w:p>
    <w:p w14:paraId="60AAA508">
      <w:pPr>
        <w:tabs>
          <w:tab w:val="left" w:pos="1080"/>
        </w:tabs>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承包人应认真编制工程结算书，不得弄虚作假，结算审核工作由发包人委托工程造价咨询单位进行并出具审核报告，审核费用由发包人与承包人共同承担，发包人承担基本审核费，承包人承担效益收费。</w:t>
      </w:r>
    </w:p>
    <w:p w14:paraId="421DDC88">
      <w:pPr>
        <w:adjustRightInd w:val="0"/>
        <w:snapToGrid w:val="0"/>
        <w:spacing w:line="360" w:lineRule="auto"/>
        <w:ind w:firstLine="420" w:firstLineChars="200"/>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38、质量保证</w:t>
      </w:r>
    </w:p>
    <w:p w14:paraId="1F2EB691">
      <w:pPr>
        <w:adjustRightInd w:val="0"/>
        <w:snapToGrid w:val="0"/>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若竣工验收达不到合同约定的合格标准质量要求，承包方应接受合同价百分之五的罚款，并免费维修至质量要求合格标准。同时发包方保留对承包方在施工过程中的其他奖罚。</w:t>
      </w:r>
    </w:p>
    <w:p w14:paraId="0F602E71">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十、违约、索赔和争议</w:t>
      </w:r>
    </w:p>
    <w:p w14:paraId="0F9A440A">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39、违约</w:t>
      </w:r>
    </w:p>
    <w:p w14:paraId="540AC7C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39.1本合同中关于发包人违约的具体责任如下：</w:t>
      </w:r>
    </w:p>
    <w:p w14:paraId="27331E86">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本合同通用条款第28.1条约定发包人违约应承担的违约责任：</w:t>
      </w:r>
      <w:r>
        <w:rPr>
          <w:rFonts w:hint="eastAsia" w:ascii="仿宋" w:hAnsi="仿宋" w:eastAsia="仿宋"/>
          <w:color w:val="auto"/>
          <w:kern w:val="0"/>
          <w:szCs w:val="21"/>
          <w:highlight w:val="none"/>
          <w:u w:val="single"/>
        </w:rPr>
        <w:t>通用条款第28.1条不适用</w:t>
      </w:r>
      <w:r>
        <w:rPr>
          <w:rFonts w:hint="eastAsia" w:ascii="仿宋" w:hAnsi="仿宋" w:eastAsia="仿宋" w:cs="宋体"/>
          <w:color w:val="auto"/>
          <w:kern w:val="0"/>
          <w:szCs w:val="21"/>
          <w:highlight w:val="none"/>
          <w:u w:val="single"/>
        </w:rPr>
        <w:t>。</w:t>
      </w:r>
    </w:p>
    <w:p w14:paraId="14A6DCEB">
      <w:pPr>
        <w:pStyle w:val="6"/>
        <w:tabs>
          <w:tab w:val="left" w:pos="0"/>
        </w:tabs>
        <w:adjustRightInd w:val="0"/>
        <w:snapToGrid w:val="0"/>
        <w:rPr>
          <w:rFonts w:ascii="仿宋" w:hAnsi="仿宋" w:eastAsia="仿宋"/>
          <w:color w:val="auto"/>
          <w:kern w:val="0"/>
          <w:highlight w:val="none"/>
          <w:u w:val="single"/>
        </w:rPr>
      </w:pPr>
      <w:r>
        <w:rPr>
          <w:rFonts w:hint="eastAsia" w:ascii="仿宋" w:hAnsi="仿宋" w:eastAsia="仿宋"/>
          <w:color w:val="auto"/>
          <w:kern w:val="0"/>
          <w:highlight w:val="none"/>
        </w:rPr>
        <w:t>本合同通用条款第30.5款约定发包人违约应承担的违约责任：</w:t>
      </w:r>
      <w:r>
        <w:rPr>
          <w:rFonts w:hint="eastAsia" w:ascii="仿宋" w:hAnsi="仿宋" w:eastAsia="仿宋"/>
          <w:color w:val="auto"/>
          <w:kern w:val="0"/>
          <w:highlight w:val="none"/>
          <w:u w:val="single"/>
        </w:rPr>
        <w:t>通用条款第30.5款不适用</w:t>
      </w:r>
      <w:r>
        <w:rPr>
          <w:rFonts w:hint="eastAsia" w:ascii="仿宋" w:hAnsi="仿宋" w:eastAsia="仿宋" w:cs="宋体"/>
          <w:color w:val="auto"/>
          <w:kern w:val="0"/>
          <w:highlight w:val="none"/>
          <w:u w:val="single"/>
        </w:rPr>
        <w:t xml:space="preserve">。  </w:t>
      </w:r>
    </w:p>
    <w:p w14:paraId="372A0D5E">
      <w:pPr>
        <w:pStyle w:val="6"/>
        <w:tabs>
          <w:tab w:val="left" w:pos="0"/>
        </w:tabs>
        <w:adjustRightInd w:val="0"/>
        <w:snapToGrid w:val="0"/>
        <w:rPr>
          <w:rFonts w:ascii="仿宋" w:hAnsi="仿宋" w:eastAsia="仿宋"/>
          <w:color w:val="auto"/>
          <w:kern w:val="0"/>
          <w:highlight w:val="none"/>
        </w:rPr>
      </w:pPr>
      <w:r>
        <w:rPr>
          <w:rFonts w:hint="eastAsia" w:ascii="仿宋" w:hAnsi="仿宋" w:eastAsia="仿宋"/>
          <w:color w:val="auto"/>
          <w:kern w:val="0"/>
          <w:highlight w:val="none"/>
        </w:rPr>
        <w:t>本合同通用条款第37.6款约定发包人违约应承担的违约责任：</w:t>
      </w:r>
      <w:r>
        <w:rPr>
          <w:rFonts w:hint="eastAsia" w:ascii="仿宋" w:hAnsi="仿宋" w:eastAsia="仿宋"/>
          <w:color w:val="auto"/>
          <w:kern w:val="0"/>
          <w:highlight w:val="none"/>
          <w:u w:val="single"/>
        </w:rPr>
        <w:t>通用条款第37.6款不适用</w:t>
      </w:r>
      <w:r>
        <w:rPr>
          <w:rFonts w:hint="eastAsia" w:ascii="仿宋" w:hAnsi="仿宋" w:eastAsia="仿宋" w:cs="宋体"/>
          <w:color w:val="auto"/>
          <w:kern w:val="0"/>
          <w:highlight w:val="none"/>
          <w:u w:val="single"/>
        </w:rPr>
        <w:t xml:space="preserve">。  </w:t>
      </w:r>
    </w:p>
    <w:p w14:paraId="7614BFC8">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双方约定的发包人其他违约责任：</w:t>
      </w:r>
      <w:r>
        <w:rPr>
          <w:rFonts w:hint="eastAsia" w:ascii="仿宋" w:hAnsi="仿宋" w:eastAsia="仿宋" w:cs="宋体"/>
          <w:color w:val="auto"/>
          <w:kern w:val="0"/>
          <w:szCs w:val="21"/>
          <w:highlight w:val="none"/>
          <w:u w:val="single"/>
        </w:rPr>
        <w:t xml:space="preserve"> 无</w:t>
      </w:r>
    </w:p>
    <w:p w14:paraId="4281B286">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39.2本合同中关于承包人违约的具体责任如下：</w:t>
      </w:r>
    </w:p>
    <w:p w14:paraId="72F6278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本合同通用条款第14.2款约定承包人违约承担的违约责任：</w:t>
      </w:r>
      <w:r>
        <w:rPr>
          <w:rFonts w:hint="eastAsia" w:ascii="仿宋" w:hAnsi="仿宋" w:eastAsia="仿宋" w:cs="Courier New"/>
          <w:color w:val="auto"/>
          <w:szCs w:val="21"/>
          <w:highlight w:val="none"/>
          <w:u w:val="single"/>
        </w:rPr>
        <w:t>承包人在工程实施过程中，任何因磋商时忽视或误解工地情况而导致的索赔或工期延长申请将不被批准。由于承包人自身原因导致工期延误，每延迟一天，承包人向发包人支付2000元作为违约金；发包人根据延期情况，发包人经书面通知承包人后，有权解除本合同。承包人支付违约金并不免除完成工程及修补缺陷的义务。</w:t>
      </w:r>
    </w:p>
    <w:p w14:paraId="357EDD03">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本合同通用条款第15.1款约定承包人违约应承担的违约责任：</w:t>
      </w:r>
      <w:r>
        <w:rPr>
          <w:rFonts w:hint="eastAsia" w:ascii="仿宋" w:hAnsi="仿宋" w:eastAsia="仿宋"/>
          <w:color w:val="auto"/>
          <w:szCs w:val="21"/>
          <w:highlight w:val="none"/>
          <w:u w:val="single"/>
        </w:rPr>
        <w:t>承包人承担因工程质量达不到本合同书约定的质量等级所造成检测、返工、加固等所有质量补救措施的全部费用。当发包人认为质量问题严重，需要终止合同更换承包人，或承包人拒绝尽快采取弥补质量缺陷措施时，发包人有权终止合同更换承包人，承包人承担发包人因此终止合同更换承包人的全部责任，承担因此产生的全部费用，并向发包人支付工程质量违约金，工程质量违约金最高限额为已完工程结算价的3％。</w:t>
      </w:r>
    </w:p>
    <w:p w14:paraId="52F240F0">
      <w:pPr>
        <w:adjustRightInd w:val="0"/>
        <w:snapToGrid w:val="0"/>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kern w:val="0"/>
          <w:szCs w:val="21"/>
          <w:highlight w:val="none"/>
        </w:rPr>
        <w:t>双方约定的承包人其他违约责任：</w:t>
      </w:r>
      <w:r>
        <w:rPr>
          <w:rFonts w:hint="eastAsia" w:ascii="仿宋" w:hAnsi="仿宋" w:eastAsia="仿宋" w:cs="宋体"/>
          <w:color w:val="auto"/>
          <w:kern w:val="0"/>
          <w:szCs w:val="21"/>
          <w:highlight w:val="none"/>
          <w:u w:val="single"/>
        </w:rPr>
        <w:t xml:space="preserve">   ／  </w:t>
      </w:r>
      <w:r>
        <w:rPr>
          <w:rFonts w:hint="eastAsia" w:ascii="仿宋" w:hAnsi="仿宋" w:eastAsia="仿宋" w:cs="宋体"/>
          <w:color w:val="auto"/>
          <w:kern w:val="0"/>
          <w:szCs w:val="21"/>
          <w:highlight w:val="none"/>
        </w:rPr>
        <w:t>。</w:t>
      </w:r>
    </w:p>
    <w:p w14:paraId="34F9652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41、争议</w:t>
      </w:r>
    </w:p>
    <w:p w14:paraId="3061F33E">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41.1双方当事人约定，在履行合同过程中产生争议时：</w:t>
      </w:r>
    </w:p>
    <w:p w14:paraId="5FC5767F">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（1）请</w:t>
      </w:r>
      <w:r>
        <w:rPr>
          <w:rFonts w:hint="eastAsia" w:ascii="仿宋" w:hAnsi="仿宋" w:eastAsia="仿宋"/>
          <w:color w:val="auto"/>
          <w:kern w:val="0"/>
          <w:szCs w:val="21"/>
          <w:highlight w:val="none"/>
          <w:u w:val="single"/>
        </w:rPr>
        <w:t xml:space="preserve"> 当地</w:t>
      </w:r>
      <w:r>
        <w:rPr>
          <w:rFonts w:hint="eastAsia" w:ascii="仿宋" w:hAnsi="仿宋" w:eastAsia="仿宋"/>
          <w:color w:val="auto"/>
          <w:szCs w:val="21"/>
          <w:highlight w:val="none"/>
          <w:u w:val="single"/>
        </w:rPr>
        <w:t xml:space="preserve">建设行政管理部门  </w:t>
      </w:r>
      <w:r>
        <w:rPr>
          <w:rFonts w:hint="eastAsia" w:ascii="仿宋" w:hAnsi="仿宋" w:eastAsia="仿宋"/>
          <w:color w:val="auto"/>
          <w:kern w:val="0"/>
          <w:szCs w:val="21"/>
          <w:highlight w:val="none"/>
        </w:rPr>
        <w:t>调解；</w:t>
      </w:r>
    </w:p>
    <w:p w14:paraId="5080CA36">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（2）合同争议调解不成的，按下列第</w:t>
      </w:r>
      <w:r>
        <w:rPr>
          <w:rFonts w:hint="eastAsia" w:ascii="仿宋" w:hAnsi="仿宋" w:eastAsia="仿宋"/>
          <w:color w:val="auto"/>
          <w:kern w:val="0"/>
          <w:szCs w:val="21"/>
          <w:highlight w:val="none"/>
          <w:u w:val="single"/>
        </w:rPr>
        <w:t xml:space="preserve">   ②    </w:t>
      </w:r>
      <w:r>
        <w:rPr>
          <w:rFonts w:hint="eastAsia" w:ascii="仿宋" w:hAnsi="仿宋" w:eastAsia="仿宋"/>
          <w:color w:val="auto"/>
          <w:kern w:val="0"/>
          <w:szCs w:val="21"/>
          <w:highlight w:val="none"/>
        </w:rPr>
        <w:t>种方式解决：</w:t>
      </w:r>
    </w:p>
    <w:p w14:paraId="5D9C26EB">
      <w:pPr>
        <w:adjustRightInd w:val="0"/>
        <w:snapToGrid w:val="0"/>
        <w:spacing w:line="360" w:lineRule="auto"/>
        <w:ind w:firstLine="630" w:firstLineChars="300"/>
        <w:rPr>
          <w:rFonts w:ascii="仿宋" w:hAnsi="仿宋" w:eastAsia="仿宋"/>
          <w:color w:val="auto"/>
          <w:kern w:val="0"/>
          <w:szCs w:val="21"/>
          <w:highlight w:val="none"/>
        </w:rPr>
      </w:pPr>
      <w:r>
        <w:rPr>
          <w:rFonts w:hint="eastAsia" w:ascii="仿宋" w:hAnsi="仿宋" w:eastAsia="仿宋"/>
          <w:color w:val="auto"/>
          <w:kern w:val="0"/>
          <w:szCs w:val="21"/>
          <w:highlight w:val="none"/>
        </w:rPr>
        <w:t>① 提交</w:t>
      </w:r>
      <w:r>
        <w:rPr>
          <w:rFonts w:hint="eastAsia" w:ascii="仿宋" w:hAnsi="仿宋" w:eastAsia="仿宋" w:cs="宋体"/>
          <w:color w:val="auto"/>
          <w:kern w:val="0"/>
          <w:szCs w:val="21"/>
          <w:highlight w:val="none"/>
          <w:u w:val="single"/>
        </w:rPr>
        <w:t xml:space="preserve">   ／  </w:t>
      </w:r>
      <w:r>
        <w:rPr>
          <w:rFonts w:hint="eastAsia" w:ascii="仿宋" w:hAnsi="仿宋" w:eastAsia="仿宋"/>
          <w:color w:val="auto"/>
          <w:kern w:val="0"/>
          <w:szCs w:val="21"/>
          <w:highlight w:val="none"/>
        </w:rPr>
        <w:t>仲裁委员会申请仲裁；</w:t>
      </w:r>
    </w:p>
    <w:p w14:paraId="5FBCA6B0">
      <w:pPr>
        <w:adjustRightInd w:val="0"/>
        <w:snapToGrid w:val="0"/>
        <w:spacing w:line="360" w:lineRule="auto"/>
        <w:ind w:firstLine="630" w:firstLineChars="300"/>
        <w:rPr>
          <w:rFonts w:ascii="仿宋" w:hAnsi="仿宋" w:eastAsia="仿宋"/>
          <w:color w:val="auto"/>
          <w:kern w:val="0"/>
          <w:szCs w:val="21"/>
          <w:highlight w:val="none"/>
        </w:rPr>
      </w:pPr>
      <w:r>
        <w:rPr>
          <w:rFonts w:hint="eastAsia" w:ascii="仿宋" w:hAnsi="仿宋" w:eastAsia="仿宋"/>
          <w:color w:val="auto"/>
          <w:kern w:val="0"/>
          <w:szCs w:val="21"/>
          <w:highlight w:val="none"/>
        </w:rPr>
        <w:t>② 依法向</w:t>
      </w:r>
      <w:r>
        <w:rPr>
          <w:rFonts w:hint="eastAsia" w:ascii="仿宋" w:hAnsi="仿宋" w:eastAsia="仿宋"/>
          <w:color w:val="auto"/>
          <w:kern w:val="0"/>
          <w:szCs w:val="21"/>
          <w:highlight w:val="none"/>
          <w:u w:val="single"/>
        </w:rPr>
        <w:t xml:space="preserve">  </w:t>
      </w:r>
      <w:r>
        <w:rPr>
          <w:rFonts w:hint="eastAsia" w:ascii="仿宋" w:hAnsi="仿宋" w:eastAsia="仿宋"/>
          <w:color w:val="auto"/>
          <w:szCs w:val="21"/>
          <w:highlight w:val="none"/>
          <w:u w:val="single"/>
        </w:rPr>
        <w:t xml:space="preserve">项目所在地有管辖权的  </w:t>
      </w:r>
      <w:r>
        <w:rPr>
          <w:rFonts w:hint="eastAsia" w:ascii="仿宋" w:hAnsi="仿宋" w:eastAsia="仿宋"/>
          <w:color w:val="auto"/>
          <w:kern w:val="0"/>
          <w:szCs w:val="21"/>
          <w:highlight w:val="none"/>
        </w:rPr>
        <w:t>人民法院提起诉讼。</w:t>
      </w:r>
    </w:p>
    <w:p w14:paraId="3902E2B5">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十一、其他</w:t>
      </w:r>
    </w:p>
    <w:p w14:paraId="41A846FB">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42、工程分包</w:t>
      </w:r>
    </w:p>
    <w:p w14:paraId="7169AFD6">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42.1本工程发包人同意承包人分包的专业工程：</w:t>
      </w:r>
      <w:r>
        <w:rPr>
          <w:rFonts w:hint="eastAsia" w:ascii="仿宋" w:hAnsi="仿宋" w:eastAsia="仿宋" w:cs="宋体"/>
          <w:color w:val="auto"/>
          <w:kern w:val="0"/>
          <w:szCs w:val="21"/>
          <w:highlight w:val="none"/>
          <w:u w:val="single"/>
        </w:rPr>
        <w:t xml:space="preserve">   ／  </w:t>
      </w:r>
    </w:p>
    <w:p w14:paraId="73182E9C">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分包施工单位为：</w:t>
      </w:r>
      <w:r>
        <w:rPr>
          <w:rFonts w:hint="eastAsia" w:ascii="仿宋" w:hAnsi="仿宋" w:eastAsia="仿宋" w:cs="宋体"/>
          <w:color w:val="auto"/>
          <w:kern w:val="0"/>
          <w:szCs w:val="21"/>
          <w:highlight w:val="none"/>
          <w:u w:val="single"/>
        </w:rPr>
        <w:t xml:space="preserve">   ／  </w:t>
      </w:r>
    </w:p>
    <w:p w14:paraId="4D6C119C">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43、不可抗力</w:t>
      </w:r>
    </w:p>
    <w:p w14:paraId="4C47F4CA">
      <w:pPr>
        <w:adjustRightInd w:val="0"/>
        <w:snapToGrid w:val="0"/>
        <w:spacing w:line="360" w:lineRule="auto"/>
        <w:ind w:firstLine="420" w:firstLineChars="200"/>
        <w:rPr>
          <w:rFonts w:ascii="仿宋" w:hAnsi="仿宋" w:eastAsia="仿宋"/>
          <w:color w:val="auto"/>
          <w:kern w:val="0"/>
          <w:szCs w:val="21"/>
          <w:highlight w:val="none"/>
          <w:u w:val="single"/>
        </w:rPr>
      </w:pPr>
      <w:r>
        <w:rPr>
          <w:rFonts w:hint="eastAsia" w:ascii="仿宋" w:hAnsi="仿宋" w:eastAsia="仿宋"/>
          <w:color w:val="auto"/>
          <w:kern w:val="0"/>
          <w:szCs w:val="21"/>
          <w:highlight w:val="none"/>
        </w:rPr>
        <w:t>43.1双方关于不可抗力的约定：</w:t>
      </w:r>
      <w:r>
        <w:rPr>
          <w:rFonts w:hint="eastAsia" w:ascii="仿宋" w:hAnsi="仿宋" w:eastAsia="仿宋"/>
          <w:bCs/>
          <w:color w:val="auto"/>
          <w:kern w:val="0"/>
          <w:szCs w:val="21"/>
          <w:highlight w:val="none"/>
          <w:u w:val="single"/>
        </w:rPr>
        <w:t>指战争、动乱、空中飞行物体坠落、造成灾难性影响的地震（六级以上）或其它非发包人或承包人双方责任造成的爆炸、火灾，以及对工程造成损害的风、雨、雪、洪水等自然灾害（八级以上持续大风、24小时降雨量在50mm以上的持续大雨）。</w:t>
      </w:r>
    </w:p>
    <w:p w14:paraId="658ECC6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44、保险</w:t>
      </w:r>
    </w:p>
    <w:p w14:paraId="7C67A3A4">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44.6本工程双方约定投保内容如下：</w:t>
      </w:r>
    </w:p>
    <w:p w14:paraId="7F77C25D">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（1）发包人投保内容：</w:t>
      </w:r>
      <w:r>
        <w:rPr>
          <w:rFonts w:hint="eastAsia" w:ascii="仿宋" w:hAnsi="仿宋" w:eastAsia="仿宋" w:cs="宋体"/>
          <w:color w:val="auto"/>
          <w:kern w:val="0"/>
          <w:szCs w:val="21"/>
          <w:highlight w:val="none"/>
          <w:u w:val="single"/>
        </w:rPr>
        <w:t xml:space="preserve"> 无 </w:t>
      </w:r>
    </w:p>
    <w:p w14:paraId="4B87ECEF">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发包人委托承包人办理的保险事项：</w:t>
      </w:r>
      <w:r>
        <w:rPr>
          <w:rFonts w:hint="eastAsia" w:ascii="仿宋" w:hAnsi="仿宋" w:eastAsia="仿宋"/>
          <w:bCs/>
          <w:color w:val="auto"/>
          <w:kern w:val="0"/>
          <w:szCs w:val="21"/>
          <w:highlight w:val="none"/>
          <w:u w:val="single"/>
        </w:rPr>
        <w:t>失业、医疗、工伤、残疾人就业保险，已包含在合同价款中，承包人必须按规定上缴有关部门</w:t>
      </w:r>
      <w:r>
        <w:rPr>
          <w:rFonts w:hint="eastAsia" w:ascii="仿宋" w:hAnsi="仿宋" w:eastAsia="仿宋"/>
          <w:color w:val="auto"/>
          <w:szCs w:val="21"/>
          <w:highlight w:val="none"/>
          <w:u w:val="single"/>
        </w:rPr>
        <w:t>。</w:t>
      </w:r>
    </w:p>
    <w:p w14:paraId="418CF5D8">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（2）承包人投保内容：</w:t>
      </w:r>
      <w:r>
        <w:rPr>
          <w:rFonts w:hint="eastAsia" w:ascii="仿宋" w:hAnsi="仿宋" w:eastAsia="仿宋"/>
          <w:color w:val="auto"/>
          <w:kern w:val="0"/>
          <w:szCs w:val="21"/>
          <w:highlight w:val="none"/>
          <w:u w:val="single"/>
        </w:rPr>
        <w:t>执行通用条款第</w:t>
      </w:r>
      <w:r>
        <w:rPr>
          <w:rFonts w:hint="eastAsia" w:ascii="仿宋" w:hAnsi="仿宋" w:eastAsia="仿宋" w:cs="宋体"/>
          <w:color w:val="auto"/>
          <w:kern w:val="0"/>
          <w:szCs w:val="21"/>
          <w:highlight w:val="none"/>
          <w:u w:val="single"/>
        </w:rPr>
        <w:t xml:space="preserve">44.4条 </w:t>
      </w:r>
      <w:r>
        <w:rPr>
          <w:rFonts w:hint="eastAsia" w:ascii="仿宋" w:hAnsi="仿宋" w:eastAsia="仿宋"/>
          <w:color w:val="auto"/>
          <w:kern w:val="0"/>
          <w:szCs w:val="21"/>
          <w:highlight w:val="none"/>
        </w:rPr>
        <w:t xml:space="preserve"> </w:t>
      </w:r>
    </w:p>
    <w:p w14:paraId="1E800617">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45、担保</w:t>
      </w:r>
    </w:p>
    <w:p w14:paraId="0281F91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45.3本工程双方约定担保事项如下：</w:t>
      </w:r>
    </w:p>
    <w:p w14:paraId="1D85DAAC">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（1）发包人向承包人提供支付担保，担保方式为：</w:t>
      </w:r>
      <w:r>
        <w:rPr>
          <w:rFonts w:hint="eastAsia" w:ascii="仿宋" w:hAnsi="仿宋" w:eastAsia="仿宋" w:cs="宋体"/>
          <w:color w:val="auto"/>
          <w:kern w:val="0"/>
          <w:szCs w:val="21"/>
          <w:highlight w:val="none"/>
          <w:u w:val="single"/>
        </w:rPr>
        <w:t xml:space="preserve">   ／</w:t>
      </w:r>
      <w:r>
        <w:rPr>
          <w:rFonts w:hint="eastAsia" w:ascii="仿宋" w:hAnsi="仿宋" w:eastAsia="仿宋"/>
          <w:color w:val="auto"/>
          <w:kern w:val="0"/>
          <w:szCs w:val="21"/>
          <w:highlight w:val="none"/>
        </w:rPr>
        <w:t>，担保有效期：</w:t>
      </w:r>
      <w:r>
        <w:rPr>
          <w:rFonts w:hint="eastAsia" w:ascii="仿宋" w:hAnsi="仿宋" w:eastAsia="仿宋" w:cs="宋体"/>
          <w:color w:val="auto"/>
          <w:kern w:val="0"/>
          <w:szCs w:val="21"/>
          <w:highlight w:val="none"/>
          <w:u w:val="single"/>
        </w:rPr>
        <w:t xml:space="preserve">   ／</w:t>
      </w:r>
      <w:r>
        <w:rPr>
          <w:rFonts w:hint="eastAsia" w:ascii="仿宋" w:hAnsi="仿宋" w:eastAsia="仿宋" w:cs="宋体"/>
          <w:color w:val="auto"/>
          <w:kern w:val="0"/>
          <w:szCs w:val="21"/>
          <w:highlight w:val="none"/>
        </w:rPr>
        <w:t>；</w:t>
      </w:r>
    </w:p>
    <w:p w14:paraId="76CA0F28">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（2）承包人向发包人提供履约担保，担保方式为：</w:t>
      </w:r>
      <w:r>
        <w:rPr>
          <w:rFonts w:hint="eastAsia" w:ascii="仿宋" w:hAnsi="仿宋" w:eastAsia="仿宋" w:cs="宋体"/>
          <w:color w:val="auto"/>
          <w:kern w:val="0"/>
          <w:szCs w:val="21"/>
          <w:highlight w:val="none"/>
          <w:u w:val="single"/>
        </w:rPr>
        <w:t xml:space="preserve">   ／，</w:t>
      </w:r>
      <w:r>
        <w:rPr>
          <w:rFonts w:hint="eastAsia" w:ascii="仿宋" w:hAnsi="仿宋" w:eastAsia="仿宋"/>
          <w:color w:val="auto"/>
          <w:kern w:val="0"/>
          <w:szCs w:val="21"/>
          <w:highlight w:val="none"/>
        </w:rPr>
        <w:t>担保有效期：</w:t>
      </w:r>
      <w:r>
        <w:rPr>
          <w:rFonts w:hint="eastAsia" w:ascii="仿宋" w:hAnsi="仿宋" w:eastAsia="仿宋" w:cs="宋体"/>
          <w:color w:val="auto"/>
          <w:kern w:val="0"/>
          <w:szCs w:val="21"/>
          <w:highlight w:val="none"/>
          <w:u w:val="single"/>
        </w:rPr>
        <w:t xml:space="preserve">   ／</w:t>
      </w:r>
      <w:r>
        <w:rPr>
          <w:rFonts w:hint="eastAsia" w:ascii="仿宋" w:hAnsi="仿宋" w:eastAsia="仿宋"/>
          <w:color w:val="auto"/>
          <w:kern w:val="0"/>
          <w:szCs w:val="21"/>
          <w:highlight w:val="none"/>
        </w:rPr>
        <w:t>。</w:t>
      </w:r>
    </w:p>
    <w:p w14:paraId="05CD370F">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（3）双方约定的其他担保事项：</w:t>
      </w:r>
      <w:r>
        <w:rPr>
          <w:rFonts w:hint="eastAsia" w:ascii="仿宋" w:hAnsi="仿宋" w:eastAsia="仿宋" w:cs="宋体"/>
          <w:color w:val="auto"/>
          <w:kern w:val="0"/>
          <w:szCs w:val="21"/>
          <w:highlight w:val="none"/>
          <w:u w:val="single"/>
        </w:rPr>
        <w:t xml:space="preserve">   ／  </w:t>
      </w:r>
    </w:p>
    <w:p w14:paraId="15A22B4F">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50、合同份数</w:t>
      </w:r>
    </w:p>
    <w:p w14:paraId="4B0D0976">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各方约定合同份数：</w:t>
      </w:r>
      <w:r>
        <w:rPr>
          <w:rFonts w:hint="eastAsia" w:ascii="仿宋" w:hAnsi="仿宋" w:eastAsia="仿宋"/>
          <w:color w:val="auto"/>
          <w:szCs w:val="21"/>
          <w:highlight w:val="none"/>
          <w:u w:val="single"/>
        </w:rPr>
        <w:t>本合同正本贰份，发包人执壹份，承包人执壹份；副本陆份，发包人执肆份，承包人执贰份。正副本不一致的以正本为准。</w:t>
      </w:r>
    </w:p>
    <w:p w14:paraId="48BCE4D0">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51、补充条款</w:t>
      </w:r>
    </w:p>
    <w:p w14:paraId="11AC694E">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承包方施工区域的施工，治安、卫生等应服从甲方对工程建设的统一管理，并按有关规定缴纳费用。</w:t>
      </w:r>
    </w:p>
    <w:p w14:paraId="728B39C1">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承包方不得将工程转包、分包给其他施工单位。承包方如对部分单项工程需分包给专业施工单位施工时，应事先经发包方认可才能签订分包合同，并将分包合同报送建设单位一份备案。分包合同不能解除承包方任何义务与责任。承包方应派相应监督管理人员，保证分包合同的履行，分包单位的任何违约或疏忽均视为承包方违约或疏忽。</w:t>
      </w:r>
    </w:p>
    <w:p w14:paraId="6C6E5305">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现场工程经济签证单、材料认质认价单，承包方应及时并按发包方管理规定办理，未经发包方有关部门签字或签字不全者结算时将不予认可(签证单和认价单必须是原件)。因材料认质认价或工程签证延误造成的工期及结算拖延，由承包方自行负责。本工程发生的变更签证工作量，按照磋商报价约定的计算方法及磋商优惠比例计价。</w:t>
      </w:r>
    </w:p>
    <w:p w14:paraId="26FB3520">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安全增订条款：承包方需建立安全保证体系、制定安全保证措施、设安全员，确保施工人员、管理人员、施工现场、施工过程、办公区域的安全，承担由于自身安全措施不力造成事故的责任和因此发生的费用。</w:t>
      </w:r>
    </w:p>
    <w:p w14:paraId="01AEF009">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承包方招聘的农民工的工资，发包方有权监督承包方在支付的当期进度款中发放农民工工资。如承包方未按时发放农民工工资，影响到本工程的施工进度及工程质量，则发包方有权在工程进度款中将承包方所欠的工资额扣除，直接发放给农民工，并另按发放金额的50%从承包方的工程进度款中扣除作为惩罚性违约金。承包方须向发包方提供其与劳务公司所签劳务合同并在每月支付工程进度款时承包方须向发包方提供上月农民工工资发放的情况说明或农民工工资发放表备案。</w:t>
      </w:r>
    </w:p>
    <w:p w14:paraId="08B258D0">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本工程竣工后，承包方应作到工完、料净、场地清。将施工现场周围和生活区周围清除干净；无建筑材料、无建筑设备、无临时垃圾、无坑池渠沟、无掩埋的硬化道路和垃圾，场地整洁。否则发包方不予支付工程款。</w:t>
      </w:r>
    </w:p>
    <w:p w14:paraId="134E1185">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xml:space="preserve"> 必须达到区内创卫的标准，严格按创卫标准施工，设立专用垃圾场，不得在施工区内任意堆放或乱倒垃圾，定期将建筑垃圾清理外运。</w:t>
      </w:r>
    </w:p>
    <w:p w14:paraId="66F138CC">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施工过程中，资料和工程进度必须同步。每月发包方管理人员对施工进度和资料进行检查，出现问题限期整改，否则罚款1000元人民币。在工程竣工验收前，承包方要按规定将竣工资料交监理验收，由监理出据相应证明后，发包方方可组织验收。</w:t>
      </w:r>
    </w:p>
    <w:p w14:paraId="2C38CB3F">
      <w:pPr>
        <w:pStyle w:val="5"/>
        <w:widowControl w:val="0"/>
        <w:numPr>
          <w:ilvl w:val="1"/>
          <w:numId w:val="4"/>
        </w:numPr>
        <w:tabs>
          <w:tab w:val="left" w:pos="0"/>
          <w:tab w:val="left" w:pos="900"/>
        </w:tabs>
        <w:adjustRightInd w:val="0"/>
        <w:snapToGrid w:val="0"/>
        <w:ind w:left="0" w:firstLine="54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如承包方不能按合同规定的工期、质量、施工进度履行其义务，发包方认为工程进度缓慢、施工质量不能达到规定的质量要求，发包方有权解除合同，并以函件的形式通知承包方，无须诉诸司法机关或采取其他措施。承包方在工程进度、质量、安全等方面出现下列情况时，发包方有权终止与承包方的施工合同：</w:t>
      </w:r>
    </w:p>
    <w:p w14:paraId="1392F7D1">
      <w:pPr>
        <w:pStyle w:val="5"/>
        <w:widowControl w:val="0"/>
        <w:numPr>
          <w:ilvl w:val="0"/>
          <w:numId w:val="5"/>
        </w:numPr>
        <w:tabs>
          <w:tab w:val="left" w:pos="0"/>
        </w:tabs>
        <w:adjustRightInd w:val="0"/>
        <w:snapToGrid w:val="0"/>
        <w:ind w:left="0" w:firstLine="36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进度方面：工程关键节点进度不能按计划完成，延误工期超过该节点计划工期的15%时，并且不能采取令发包方信服的赶工补救措施。</w:t>
      </w:r>
    </w:p>
    <w:p w14:paraId="09058F95">
      <w:pPr>
        <w:pStyle w:val="5"/>
        <w:widowControl w:val="0"/>
        <w:numPr>
          <w:ilvl w:val="0"/>
          <w:numId w:val="5"/>
        </w:numPr>
        <w:tabs>
          <w:tab w:val="left" w:pos="0"/>
        </w:tabs>
        <w:adjustRightInd w:val="0"/>
        <w:snapToGrid w:val="0"/>
        <w:ind w:left="0" w:firstLine="36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质量方面： ①出现重大质量问题，经发包方、监理单位提出，没有采取有效措施进行补救。②被建设行政主管部门因为质量问题通报两次者。</w:t>
      </w:r>
    </w:p>
    <w:p w14:paraId="2266D44C">
      <w:pPr>
        <w:pStyle w:val="5"/>
        <w:widowControl w:val="0"/>
        <w:numPr>
          <w:ilvl w:val="0"/>
          <w:numId w:val="5"/>
        </w:numPr>
        <w:tabs>
          <w:tab w:val="left" w:pos="0"/>
        </w:tabs>
        <w:adjustRightInd w:val="0"/>
        <w:snapToGrid w:val="0"/>
        <w:ind w:left="0" w:firstLine="36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安全问题：①出现重大安全隐患，经监理提出，有限期内没有得到整改。②被建设行政部门因为安全问题进行通报两次者。除终止施工合同外，还将对承包方合同价款3%处罚。另由于终止合同对发包方造成的一切损失由承包方承担。</w:t>
      </w:r>
    </w:p>
    <w:p w14:paraId="03F7B1EA">
      <w:pPr>
        <w:pStyle w:val="5"/>
        <w:widowControl w:val="0"/>
        <w:numPr>
          <w:ilvl w:val="255"/>
          <w:numId w:val="0"/>
        </w:numPr>
        <w:tabs>
          <w:tab w:val="left" w:pos="1100"/>
        </w:tabs>
        <w:adjustRightInd w:val="0"/>
        <w:snapToGrid w:val="0"/>
        <w:ind w:firstLine="420" w:firstLineChars="20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xml:space="preserve"> 10.发包方解除合同的，承包方应按发包方要求退场。承包方不按发包方要求退场的，发包方可采取强制措施，因此发生的所有费用和造成的一切损失全部由承包方承担。</w:t>
      </w:r>
    </w:p>
    <w:p w14:paraId="07AF9D8F">
      <w:pPr>
        <w:pStyle w:val="5"/>
        <w:widowControl w:val="0"/>
        <w:numPr>
          <w:ilvl w:val="255"/>
          <w:numId w:val="0"/>
        </w:numPr>
        <w:tabs>
          <w:tab w:val="left" w:pos="900"/>
          <w:tab w:val="left" w:pos="1000"/>
        </w:tabs>
        <w:adjustRightInd w:val="0"/>
        <w:snapToGrid w:val="0"/>
        <w:ind w:firstLine="420" w:firstLineChars="20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11.安全管理人员必须持证上岗，并负责检查现场和施工人员安全情况，如监理和发包方管理人员发现有不安全因素存在，经指出仍未纠正的每次罚款500元人民币；出现安全事故，承包方自负。</w:t>
      </w:r>
    </w:p>
    <w:p w14:paraId="75ECE7C6">
      <w:pPr>
        <w:pStyle w:val="5"/>
        <w:widowControl w:val="0"/>
        <w:numPr>
          <w:ilvl w:val="255"/>
          <w:numId w:val="0"/>
        </w:numPr>
        <w:tabs>
          <w:tab w:val="left" w:pos="900"/>
          <w:tab w:val="left" w:pos="1000"/>
        </w:tabs>
        <w:adjustRightInd w:val="0"/>
        <w:snapToGrid w:val="0"/>
        <w:ind w:firstLine="420" w:firstLineChars="20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xml:space="preserve">12.承包方所用水、电由发包方装表（装表费用由承包方支付）。承包方按表计量据实缴纳有关费用。现场用电必须按照发包方要求，三相五线制，一机一闸必须带漏电保护，不许用电炉。如施工现场出现用电漏电或短路跳闸，造成停电或影响发包方用电，承包方承担由此给发包方造成的一切损失。 </w:t>
      </w:r>
    </w:p>
    <w:p w14:paraId="1890BB54">
      <w:pPr>
        <w:pStyle w:val="5"/>
        <w:widowControl w:val="0"/>
        <w:numPr>
          <w:ilvl w:val="255"/>
          <w:numId w:val="0"/>
        </w:numPr>
        <w:tabs>
          <w:tab w:val="left" w:pos="900"/>
          <w:tab w:val="left" w:pos="1000"/>
        </w:tabs>
        <w:adjustRightInd w:val="0"/>
        <w:snapToGrid w:val="0"/>
        <w:ind w:firstLine="420" w:firstLineChars="20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xml:space="preserve">13.承包方的到位人员及设备配置必须和磋商书施工组织设计所列人员及设备配置相符，否则视为承包方违约。 </w:t>
      </w:r>
    </w:p>
    <w:p w14:paraId="0954D90D">
      <w:pPr>
        <w:pStyle w:val="5"/>
        <w:widowControl w:val="0"/>
        <w:numPr>
          <w:ilvl w:val="255"/>
          <w:numId w:val="0"/>
        </w:numPr>
        <w:tabs>
          <w:tab w:val="left" w:pos="900"/>
          <w:tab w:val="left" w:pos="1000"/>
        </w:tabs>
        <w:adjustRightInd w:val="0"/>
        <w:snapToGrid w:val="0"/>
        <w:ind w:firstLine="420" w:firstLineChars="20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14.发包方资金遇到困难时，承包方在未收到工程进度款的情况下，两个月内应保证正常施工。</w:t>
      </w:r>
    </w:p>
    <w:p w14:paraId="6CEF6D94">
      <w:pPr>
        <w:pStyle w:val="5"/>
        <w:widowControl w:val="0"/>
        <w:numPr>
          <w:ilvl w:val="255"/>
          <w:numId w:val="0"/>
        </w:numPr>
        <w:tabs>
          <w:tab w:val="left" w:pos="900"/>
          <w:tab w:val="left" w:pos="1000"/>
        </w:tabs>
        <w:adjustRightInd w:val="0"/>
        <w:snapToGrid w:val="0"/>
        <w:ind w:firstLine="420" w:firstLineChars="20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15.施工中如遇到现场不具备施工条件时，材料不增加二次或多次倒运费。</w:t>
      </w:r>
    </w:p>
    <w:p w14:paraId="782E4E6E">
      <w:pPr>
        <w:pStyle w:val="5"/>
        <w:widowControl w:val="0"/>
        <w:numPr>
          <w:ilvl w:val="255"/>
          <w:numId w:val="0"/>
        </w:numPr>
        <w:tabs>
          <w:tab w:val="left" w:pos="900"/>
          <w:tab w:val="left" w:pos="1000"/>
        </w:tabs>
        <w:adjustRightInd w:val="0"/>
        <w:snapToGrid w:val="0"/>
        <w:ind w:firstLine="420" w:firstLineChars="200"/>
        <w:jc w:val="both"/>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16.承包方必须充分考虑施工区域内的各种外界干扰因素，包括负责协调解决与当地村民的关系，不得以村民阻挠影响施工为由要求顺延工期或增加工程费用等问题，并应承担由此产生的相应费用。</w:t>
      </w:r>
    </w:p>
    <w:p w14:paraId="271D4711">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17.对于由发包人另行分包的工程，由承包人完成相应预留、预埋的，承包人应保证预留管路通畅、预留洞口符合设计要求。若不符合要求的，应无条件返修，并保证符合要求。</w:t>
      </w:r>
    </w:p>
    <w:p w14:paraId="286F31C5">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18. 签订合同的同时签订《工程项目廉政合同》和《建筑安装施工安全生产协议》。</w:t>
      </w:r>
    </w:p>
    <w:p w14:paraId="03B7E010">
      <w:pPr>
        <w:adjustRightInd w:val="0"/>
        <w:snapToGrid w:val="0"/>
        <w:spacing w:line="360" w:lineRule="auto"/>
        <w:ind w:firstLine="420" w:firstLineChars="200"/>
        <w:rPr>
          <w:rFonts w:ascii="仿宋" w:hAnsi="仿宋" w:eastAsia="仿宋"/>
          <w:color w:val="auto"/>
          <w:kern w:val="0"/>
          <w:szCs w:val="21"/>
          <w:highlight w:val="none"/>
        </w:rPr>
      </w:pPr>
      <w:r>
        <w:rPr>
          <w:rFonts w:hint="eastAsia" w:ascii="仿宋" w:hAnsi="仿宋" w:eastAsia="仿宋"/>
          <w:color w:val="auto"/>
          <w:kern w:val="0"/>
          <w:szCs w:val="21"/>
          <w:highlight w:val="none"/>
        </w:rPr>
        <w:t>19. 合同未尽事宜，双方另行签订补充协议。补充协议是合同的组成部分。</w:t>
      </w:r>
    </w:p>
    <w:p w14:paraId="31DDDA36">
      <w:pPr>
        <w:autoSpaceDE w:val="0"/>
        <w:autoSpaceDN w:val="0"/>
        <w:adjustRightInd w:val="0"/>
        <w:snapToGrid w:val="0"/>
        <w:spacing w:line="360" w:lineRule="auto"/>
        <w:ind w:firstLine="422" w:firstLineChars="200"/>
        <w:jc w:val="left"/>
        <w:rPr>
          <w:rFonts w:ascii="仿宋" w:hAnsi="仿宋" w:eastAsia="仿宋"/>
          <w:color w:val="auto"/>
          <w:szCs w:val="21"/>
          <w:highlight w:val="none"/>
        </w:rPr>
      </w:pPr>
      <w:r>
        <w:rPr>
          <w:rFonts w:hint="eastAsia" w:ascii="仿宋" w:hAnsi="仿宋" w:eastAsia="仿宋"/>
          <w:b/>
          <w:color w:val="auto"/>
          <w:szCs w:val="21"/>
          <w:highlight w:val="none"/>
        </w:rPr>
        <w:t>附件1 《材料、设备价格表》</w:t>
      </w:r>
      <w:r>
        <w:rPr>
          <w:rFonts w:hint="eastAsia" w:ascii="仿宋" w:hAnsi="仿宋" w:eastAsia="仿宋" w:cs="宋体"/>
          <w:b/>
          <w:color w:val="auto"/>
          <w:kern w:val="0"/>
          <w:szCs w:val="21"/>
          <w:highlight w:val="none"/>
        </w:rPr>
        <w:t xml:space="preserve"> </w:t>
      </w:r>
    </w:p>
    <w:p w14:paraId="71471899">
      <w:pPr>
        <w:autoSpaceDE w:val="0"/>
        <w:autoSpaceDN w:val="0"/>
        <w:adjustRightInd w:val="0"/>
        <w:snapToGrid w:val="0"/>
        <w:spacing w:line="360" w:lineRule="auto"/>
        <w:ind w:firstLine="422" w:firstLineChars="200"/>
        <w:jc w:val="left"/>
        <w:rPr>
          <w:rFonts w:ascii="仿宋" w:hAnsi="仿宋" w:eastAsia="仿宋"/>
          <w:b/>
          <w:color w:val="auto"/>
          <w:szCs w:val="21"/>
          <w:highlight w:val="none"/>
        </w:rPr>
      </w:pPr>
      <w:r>
        <w:rPr>
          <w:rFonts w:hint="eastAsia" w:ascii="仿宋" w:hAnsi="仿宋" w:eastAsia="仿宋"/>
          <w:b/>
          <w:color w:val="auto"/>
          <w:szCs w:val="21"/>
          <w:highlight w:val="none"/>
        </w:rPr>
        <w:t>附件2 《工程质量保修书》</w:t>
      </w:r>
    </w:p>
    <w:p w14:paraId="6D986A9A">
      <w:pPr>
        <w:autoSpaceDE w:val="0"/>
        <w:autoSpaceDN w:val="0"/>
        <w:adjustRightInd w:val="0"/>
        <w:snapToGrid w:val="0"/>
        <w:spacing w:line="360" w:lineRule="auto"/>
        <w:ind w:firstLine="422" w:firstLineChars="200"/>
        <w:jc w:val="left"/>
        <w:rPr>
          <w:rFonts w:ascii="仿宋" w:hAnsi="仿宋" w:eastAsia="仿宋"/>
          <w:b/>
          <w:color w:val="auto"/>
          <w:szCs w:val="21"/>
          <w:highlight w:val="none"/>
        </w:rPr>
      </w:pPr>
      <w:r>
        <w:rPr>
          <w:rFonts w:hint="eastAsia" w:ascii="仿宋" w:hAnsi="仿宋" w:eastAsia="仿宋"/>
          <w:b/>
          <w:color w:val="auto"/>
          <w:szCs w:val="21"/>
          <w:highlight w:val="none"/>
        </w:rPr>
        <w:t>附件3 《工程项目廉政合同》</w:t>
      </w:r>
    </w:p>
    <w:p w14:paraId="6D90D062">
      <w:pPr>
        <w:autoSpaceDE w:val="0"/>
        <w:autoSpaceDN w:val="0"/>
        <w:adjustRightInd w:val="0"/>
        <w:snapToGrid w:val="0"/>
        <w:spacing w:line="360" w:lineRule="auto"/>
        <w:ind w:firstLine="422" w:firstLineChars="200"/>
        <w:jc w:val="left"/>
        <w:rPr>
          <w:rFonts w:ascii="仿宋" w:hAnsi="仿宋" w:eastAsia="仿宋"/>
          <w:b/>
          <w:color w:val="auto"/>
          <w:szCs w:val="21"/>
          <w:highlight w:val="none"/>
        </w:rPr>
      </w:pPr>
      <w:r>
        <w:rPr>
          <w:rFonts w:hint="eastAsia" w:ascii="仿宋" w:hAnsi="仿宋" w:eastAsia="仿宋"/>
          <w:b/>
          <w:color w:val="auto"/>
          <w:szCs w:val="21"/>
          <w:highlight w:val="none"/>
        </w:rPr>
        <w:t>附件4 《安全生产协议》</w:t>
      </w:r>
    </w:p>
    <w:p w14:paraId="1176E3D6">
      <w:pPr>
        <w:autoSpaceDE w:val="0"/>
        <w:autoSpaceDN w:val="0"/>
        <w:adjustRightInd w:val="0"/>
        <w:snapToGrid w:val="0"/>
        <w:spacing w:line="360" w:lineRule="auto"/>
        <w:ind w:firstLine="422" w:firstLineChars="200"/>
        <w:jc w:val="left"/>
        <w:rPr>
          <w:rFonts w:ascii="仿宋" w:hAnsi="仿宋" w:eastAsia="仿宋"/>
          <w:b/>
          <w:color w:val="auto"/>
          <w:szCs w:val="21"/>
          <w:highlight w:val="none"/>
        </w:rPr>
      </w:pPr>
      <w:r>
        <w:rPr>
          <w:rFonts w:hint="eastAsia" w:ascii="仿宋" w:hAnsi="仿宋" w:eastAsia="仿宋"/>
          <w:b/>
          <w:color w:val="auto"/>
          <w:szCs w:val="21"/>
          <w:highlight w:val="none"/>
        </w:rPr>
        <w:t>附件5 《承包人杜绝转包、违法分包和拖欠民工工资行为承诺书》</w:t>
      </w:r>
    </w:p>
    <w:p w14:paraId="34BA4CDF">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szCs w:val="21"/>
          <w:highlight w:val="none"/>
        </w:rPr>
        <w:t>附件6 《项目经理委任书》</w:t>
      </w:r>
    </w:p>
    <w:p w14:paraId="3BA4067B">
      <w:pPr>
        <w:adjustRightInd w:val="0"/>
        <w:snapToGrid w:val="0"/>
        <w:spacing w:line="360" w:lineRule="auto"/>
        <w:ind w:firstLine="422" w:firstLineChars="200"/>
        <w:rPr>
          <w:rFonts w:ascii="仿宋" w:hAnsi="仿宋" w:eastAsia="仿宋"/>
          <w:b/>
          <w:color w:val="auto"/>
          <w:kern w:val="0"/>
          <w:szCs w:val="21"/>
          <w:highlight w:val="none"/>
        </w:rPr>
      </w:pPr>
      <w:r>
        <w:rPr>
          <w:rFonts w:hint="eastAsia" w:ascii="仿宋" w:hAnsi="仿宋" w:eastAsia="仿宋"/>
          <w:b/>
          <w:color w:val="auto"/>
          <w:kern w:val="0"/>
          <w:szCs w:val="21"/>
          <w:highlight w:val="none"/>
        </w:rPr>
        <w:t>附件7 《建设工程安全防护、文明施工措施项目明细》</w:t>
      </w:r>
    </w:p>
    <w:p w14:paraId="46AF6DC4">
      <w:pPr>
        <w:spacing w:line="360" w:lineRule="auto"/>
        <w:ind w:firstLine="422" w:firstLineChars="200"/>
        <w:rPr>
          <w:rFonts w:ascii="仿宋" w:hAnsi="仿宋" w:eastAsia="仿宋"/>
          <w:color w:val="auto"/>
          <w:szCs w:val="21"/>
          <w:highlight w:val="none"/>
        </w:rPr>
      </w:pPr>
      <w:r>
        <w:rPr>
          <w:rFonts w:hint="eastAsia" w:ascii="仿宋" w:hAnsi="仿宋" w:eastAsia="仿宋"/>
          <w:b/>
          <w:color w:val="auto"/>
          <w:szCs w:val="21"/>
          <w:highlight w:val="none"/>
        </w:rPr>
        <w:t>附件8 《</w:t>
      </w:r>
      <w:r>
        <w:rPr>
          <w:rFonts w:hint="eastAsia" w:ascii="仿宋" w:hAnsi="仿宋" w:eastAsia="仿宋" w:cs="宋体"/>
          <w:b/>
          <w:color w:val="auto"/>
          <w:kern w:val="0"/>
          <w:szCs w:val="21"/>
          <w:highlight w:val="none"/>
        </w:rPr>
        <w:t>农民工工资支付保障协议书 》</w:t>
      </w:r>
    </w:p>
    <w:p w14:paraId="2462D2E8">
      <w:pPr>
        <w:pStyle w:val="2"/>
        <w:tabs>
          <w:tab w:val="left" w:pos="3780"/>
        </w:tabs>
        <w:rPr>
          <w:rFonts w:ascii="仿宋" w:hAnsi="仿宋" w:eastAsia="仿宋"/>
          <w:b/>
          <w:color w:val="auto"/>
          <w:sz w:val="21"/>
          <w:szCs w:val="21"/>
          <w:highlight w:val="none"/>
        </w:rPr>
      </w:pPr>
      <w:r>
        <w:rPr>
          <w:rFonts w:hint="eastAsia" w:ascii="仿宋" w:hAnsi="仿宋" w:eastAsia="仿宋"/>
          <w:color w:val="auto"/>
          <w:sz w:val="28"/>
          <w:highlight w:val="none"/>
        </w:rPr>
        <w:br w:type="page"/>
      </w:r>
      <w:bookmarkStart w:id="8" w:name="_Toc55665152"/>
      <w:bookmarkStart w:id="9" w:name="_Toc342748412"/>
      <w:bookmarkStart w:id="10" w:name="_Toc108711485"/>
      <w:r>
        <w:rPr>
          <w:rFonts w:hint="eastAsia" w:ascii="仿宋" w:hAnsi="仿宋" w:eastAsia="仿宋"/>
          <w:b/>
          <w:color w:val="auto"/>
          <w:sz w:val="21"/>
          <w:szCs w:val="21"/>
          <w:highlight w:val="none"/>
        </w:rPr>
        <w:t>合同格式附件</w:t>
      </w:r>
      <w:bookmarkEnd w:id="8"/>
      <w:bookmarkEnd w:id="9"/>
      <w:bookmarkEnd w:id="10"/>
    </w:p>
    <w:p w14:paraId="3934F699">
      <w:pPr>
        <w:adjustRightInd w:val="0"/>
        <w:snapToGrid w:val="0"/>
        <w:spacing w:line="360" w:lineRule="auto"/>
        <w:ind w:firstLine="200"/>
        <w:rPr>
          <w:rFonts w:ascii="仿宋" w:hAnsi="仿宋" w:eastAsia="仿宋"/>
          <w:color w:val="auto"/>
          <w:szCs w:val="21"/>
          <w:highlight w:val="none"/>
        </w:rPr>
      </w:pPr>
      <w:r>
        <w:rPr>
          <w:rFonts w:hint="eastAsia" w:ascii="仿宋" w:hAnsi="仿宋" w:eastAsia="仿宋"/>
          <w:b/>
          <w:color w:val="auto"/>
          <w:szCs w:val="21"/>
          <w:highlight w:val="none"/>
        </w:rPr>
        <w:t xml:space="preserve">附件1 </w:t>
      </w:r>
    </w:p>
    <w:p w14:paraId="6C9D6651">
      <w:pPr>
        <w:adjustRightInd w:val="0"/>
        <w:snapToGrid w:val="0"/>
        <w:spacing w:line="360" w:lineRule="auto"/>
        <w:jc w:val="center"/>
        <w:rPr>
          <w:rFonts w:ascii="仿宋" w:hAnsi="仿宋" w:eastAsia="仿宋"/>
          <w:b/>
          <w:color w:val="auto"/>
          <w:szCs w:val="21"/>
          <w:highlight w:val="none"/>
        </w:rPr>
      </w:pPr>
      <w:r>
        <w:rPr>
          <w:rFonts w:hint="eastAsia" w:ascii="仿宋" w:hAnsi="仿宋" w:eastAsia="仿宋"/>
          <w:b/>
          <w:color w:val="auto"/>
          <w:szCs w:val="21"/>
          <w:highlight w:val="none"/>
        </w:rPr>
        <w:t>材料、设备价格表</w:t>
      </w:r>
    </w:p>
    <w:tbl>
      <w:tblPr>
        <w:tblStyle w:val="8"/>
        <w:tblW w:w="894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356"/>
        <w:gridCol w:w="1470"/>
        <w:gridCol w:w="567"/>
        <w:gridCol w:w="1415"/>
        <w:gridCol w:w="1333"/>
        <w:gridCol w:w="891"/>
      </w:tblGrid>
      <w:tr w14:paraId="108312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915" w:type="dxa"/>
            <w:tcBorders>
              <w:top w:val="single" w:color="auto" w:sz="12" w:space="0"/>
              <w:left w:val="single" w:color="auto" w:sz="12" w:space="0"/>
              <w:bottom w:val="single" w:color="auto" w:sz="4" w:space="0"/>
              <w:right w:val="single" w:color="auto" w:sz="4" w:space="0"/>
            </w:tcBorders>
            <w:vAlign w:val="center"/>
          </w:tcPr>
          <w:p w14:paraId="5C0A3A00">
            <w:pPr>
              <w:spacing w:line="340" w:lineRule="exact"/>
              <w:jc w:val="center"/>
              <w:rPr>
                <w:rFonts w:ascii="仿宋" w:hAnsi="仿宋" w:eastAsia="仿宋"/>
                <w:b/>
                <w:color w:val="auto"/>
                <w:szCs w:val="21"/>
                <w:highlight w:val="none"/>
              </w:rPr>
            </w:pPr>
            <w:r>
              <w:rPr>
                <w:rFonts w:hint="eastAsia" w:ascii="仿宋" w:hAnsi="仿宋" w:eastAsia="仿宋"/>
                <w:b/>
                <w:color w:val="auto"/>
                <w:szCs w:val="21"/>
                <w:highlight w:val="none"/>
              </w:rPr>
              <w:t>序号</w:t>
            </w:r>
          </w:p>
        </w:tc>
        <w:tc>
          <w:tcPr>
            <w:tcW w:w="2356" w:type="dxa"/>
            <w:tcBorders>
              <w:top w:val="single" w:color="auto" w:sz="12" w:space="0"/>
              <w:left w:val="single" w:color="auto" w:sz="4" w:space="0"/>
              <w:bottom w:val="single" w:color="auto" w:sz="4" w:space="0"/>
              <w:right w:val="single" w:color="auto" w:sz="4" w:space="0"/>
            </w:tcBorders>
            <w:vAlign w:val="center"/>
          </w:tcPr>
          <w:p w14:paraId="5DE63CA6">
            <w:pPr>
              <w:spacing w:line="340" w:lineRule="exact"/>
              <w:jc w:val="center"/>
              <w:rPr>
                <w:rFonts w:ascii="仿宋" w:hAnsi="仿宋" w:eastAsia="仿宋"/>
                <w:b/>
                <w:color w:val="auto"/>
                <w:szCs w:val="21"/>
                <w:highlight w:val="none"/>
              </w:rPr>
            </w:pPr>
            <w:r>
              <w:rPr>
                <w:rFonts w:hint="eastAsia" w:ascii="仿宋" w:hAnsi="仿宋" w:eastAsia="仿宋"/>
                <w:b/>
                <w:color w:val="auto"/>
                <w:szCs w:val="21"/>
                <w:highlight w:val="none"/>
              </w:rPr>
              <w:t>主要材料、设备名称</w:t>
            </w:r>
          </w:p>
        </w:tc>
        <w:tc>
          <w:tcPr>
            <w:tcW w:w="1470" w:type="dxa"/>
            <w:tcBorders>
              <w:top w:val="single" w:color="auto" w:sz="12" w:space="0"/>
              <w:left w:val="single" w:color="auto" w:sz="4" w:space="0"/>
              <w:bottom w:val="single" w:color="auto" w:sz="4" w:space="0"/>
              <w:right w:val="single" w:color="auto" w:sz="4" w:space="0"/>
            </w:tcBorders>
            <w:vAlign w:val="center"/>
          </w:tcPr>
          <w:p w14:paraId="6120D16E">
            <w:pPr>
              <w:spacing w:line="340" w:lineRule="exact"/>
              <w:jc w:val="center"/>
              <w:rPr>
                <w:rFonts w:ascii="仿宋" w:hAnsi="仿宋" w:eastAsia="仿宋"/>
                <w:b/>
                <w:color w:val="auto"/>
                <w:szCs w:val="21"/>
                <w:highlight w:val="none"/>
              </w:rPr>
            </w:pPr>
            <w:r>
              <w:rPr>
                <w:rFonts w:hint="eastAsia" w:ascii="仿宋" w:hAnsi="仿宋" w:eastAsia="仿宋"/>
                <w:b/>
                <w:color w:val="auto"/>
                <w:szCs w:val="21"/>
                <w:highlight w:val="none"/>
              </w:rPr>
              <w:t>规格、型号</w:t>
            </w:r>
          </w:p>
        </w:tc>
        <w:tc>
          <w:tcPr>
            <w:tcW w:w="567" w:type="dxa"/>
            <w:tcBorders>
              <w:top w:val="single" w:color="auto" w:sz="12" w:space="0"/>
              <w:left w:val="single" w:color="auto" w:sz="4" w:space="0"/>
              <w:bottom w:val="single" w:color="auto" w:sz="4" w:space="0"/>
              <w:right w:val="single" w:color="auto" w:sz="4" w:space="0"/>
            </w:tcBorders>
            <w:vAlign w:val="center"/>
          </w:tcPr>
          <w:p w14:paraId="58E3885C">
            <w:pPr>
              <w:spacing w:line="340" w:lineRule="exact"/>
              <w:jc w:val="center"/>
              <w:rPr>
                <w:rFonts w:ascii="仿宋" w:hAnsi="仿宋" w:eastAsia="仿宋"/>
                <w:b/>
                <w:color w:val="auto"/>
                <w:szCs w:val="21"/>
                <w:highlight w:val="none"/>
              </w:rPr>
            </w:pPr>
            <w:r>
              <w:rPr>
                <w:rFonts w:hint="eastAsia" w:ascii="仿宋" w:hAnsi="仿宋" w:eastAsia="仿宋"/>
                <w:b/>
                <w:color w:val="auto"/>
                <w:szCs w:val="21"/>
                <w:highlight w:val="none"/>
              </w:rPr>
              <w:t>单位</w:t>
            </w:r>
          </w:p>
        </w:tc>
        <w:tc>
          <w:tcPr>
            <w:tcW w:w="1415" w:type="dxa"/>
            <w:tcBorders>
              <w:top w:val="single" w:color="auto" w:sz="12" w:space="0"/>
              <w:left w:val="single" w:color="auto" w:sz="4" w:space="0"/>
              <w:bottom w:val="single" w:color="auto" w:sz="4" w:space="0"/>
              <w:right w:val="single" w:color="auto" w:sz="4" w:space="0"/>
            </w:tcBorders>
            <w:vAlign w:val="center"/>
          </w:tcPr>
          <w:p w14:paraId="6D4C0DFD">
            <w:pPr>
              <w:spacing w:line="340" w:lineRule="exact"/>
              <w:jc w:val="center"/>
              <w:rPr>
                <w:rFonts w:ascii="仿宋" w:hAnsi="仿宋" w:eastAsia="仿宋"/>
                <w:b/>
                <w:color w:val="auto"/>
                <w:szCs w:val="21"/>
                <w:highlight w:val="none"/>
              </w:rPr>
            </w:pPr>
            <w:r>
              <w:rPr>
                <w:rFonts w:hint="eastAsia" w:ascii="仿宋" w:hAnsi="仿宋" w:eastAsia="仿宋"/>
                <w:b/>
                <w:color w:val="auto"/>
                <w:szCs w:val="21"/>
                <w:highlight w:val="none"/>
              </w:rPr>
              <w:t>单价（元）</w:t>
            </w:r>
          </w:p>
        </w:tc>
        <w:tc>
          <w:tcPr>
            <w:tcW w:w="1333" w:type="dxa"/>
            <w:tcBorders>
              <w:top w:val="single" w:color="auto" w:sz="12" w:space="0"/>
              <w:left w:val="single" w:color="auto" w:sz="4" w:space="0"/>
              <w:bottom w:val="single" w:color="auto" w:sz="4" w:space="0"/>
              <w:right w:val="single" w:color="auto" w:sz="4" w:space="0"/>
            </w:tcBorders>
            <w:vAlign w:val="center"/>
          </w:tcPr>
          <w:p w14:paraId="69B44DC0">
            <w:pPr>
              <w:spacing w:line="340" w:lineRule="exact"/>
              <w:jc w:val="center"/>
              <w:rPr>
                <w:rFonts w:ascii="仿宋" w:hAnsi="仿宋" w:eastAsia="仿宋"/>
                <w:b/>
                <w:color w:val="auto"/>
                <w:szCs w:val="21"/>
                <w:highlight w:val="none"/>
              </w:rPr>
            </w:pPr>
            <w:r>
              <w:rPr>
                <w:rFonts w:hint="eastAsia" w:ascii="仿宋" w:hAnsi="仿宋" w:eastAsia="仿宋"/>
                <w:b/>
                <w:color w:val="auto"/>
                <w:szCs w:val="21"/>
                <w:highlight w:val="none"/>
              </w:rPr>
              <w:t>预算</w:t>
            </w:r>
          </w:p>
          <w:p w14:paraId="2225CFA2">
            <w:pPr>
              <w:spacing w:line="340" w:lineRule="exact"/>
              <w:jc w:val="center"/>
              <w:rPr>
                <w:rFonts w:ascii="仿宋" w:hAnsi="仿宋" w:eastAsia="仿宋"/>
                <w:b/>
                <w:color w:val="auto"/>
                <w:szCs w:val="21"/>
                <w:highlight w:val="none"/>
              </w:rPr>
            </w:pPr>
            <w:r>
              <w:rPr>
                <w:rFonts w:hint="eastAsia" w:ascii="仿宋" w:hAnsi="仿宋" w:eastAsia="仿宋"/>
                <w:b/>
                <w:color w:val="auto"/>
                <w:szCs w:val="21"/>
                <w:highlight w:val="none"/>
              </w:rPr>
              <w:t>数量</w:t>
            </w:r>
          </w:p>
        </w:tc>
        <w:tc>
          <w:tcPr>
            <w:tcW w:w="891" w:type="dxa"/>
            <w:tcBorders>
              <w:top w:val="single" w:color="auto" w:sz="12" w:space="0"/>
              <w:left w:val="single" w:color="auto" w:sz="4" w:space="0"/>
              <w:bottom w:val="single" w:color="auto" w:sz="4" w:space="0"/>
              <w:right w:val="single" w:color="auto" w:sz="12" w:space="0"/>
            </w:tcBorders>
            <w:vAlign w:val="center"/>
          </w:tcPr>
          <w:p w14:paraId="3357564C">
            <w:pPr>
              <w:spacing w:line="340" w:lineRule="exact"/>
              <w:jc w:val="center"/>
              <w:rPr>
                <w:rFonts w:ascii="仿宋" w:hAnsi="仿宋" w:eastAsia="仿宋"/>
                <w:b/>
                <w:color w:val="auto"/>
                <w:szCs w:val="21"/>
                <w:highlight w:val="none"/>
              </w:rPr>
            </w:pPr>
            <w:r>
              <w:rPr>
                <w:rFonts w:hint="eastAsia" w:ascii="仿宋" w:hAnsi="仿宋" w:eastAsia="仿宋"/>
                <w:b/>
                <w:color w:val="auto"/>
                <w:szCs w:val="21"/>
                <w:highlight w:val="none"/>
              </w:rPr>
              <w:t>备注</w:t>
            </w:r>
          </w:p>
        </w:tc>
      </w:tr>
      <w:tr w14:paraId="640B57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183FAF44">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w:t>
            </w:r>
          </w:p>
        </w:tc>
        <w:tc>
          <w:tcPr>
            <w:tcW w:w="2356" w:type="dxa"/>
            <w:tcBorders>
              <w:top w:val="single" w:color="auto" w:sz="4" w:space="0"/>
              <w:left w:val="single" w:color="auto" w:sz="4" w:space="0"/>
              <w:bottom w:val="single" w:color="auto" w:sz="4" w:space="0"/>
              <w:right w:val="single" w:color="auto" w:sz="4" w:space="0"/>
            </w:tcBorders>
            <w:vAlign w:val="center"/>
          </w:tcPr>
          <w:p w14:paraId="2479FF8C">
            <w:pPr>
              <w:widowControl/>
              <w:spacing w:line="340" w:lineRule="exac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211BB0E0">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3EF717C">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09ABAD79">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19F0B74E">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5960C990">
            <w:pPr>
              <w:spacing w:line="340" w:lineRule="exact"/>
              <w:jc w:val="center"/>
              <w:rPr>
                <w:rFonts w:ascii="仿宋" w:hAnsi="仿宋" w:eastAsia="仿宋" w:cs="宋体"/>
                <w:color w:val="auto"/>
                <w:szCs w:val="21"/>
                <w:highlight w:val="none"/>
              </w:rPr>
            </w:pPr>
          </w:p>
        </w:tc>
      </w:tr>
      <w:tr w14:paraId="3BA0E0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455BB0F1">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2</w:t>
            </w:r>
          </w:p>
        </w:tc>
        <w:tc>
          <w:tcPr>
            <w:tcW w:w="2356" w:type="dxa"/>
            <w:tcBorders>
              <w:top w:val="single" w:color="auto" w:sz="4" w:space="0"/>
              <w:left w:val="single" w:color="auto" w:sz="4" w:space="0"/>
              <w:bottom w:val="single" w:color="auto" w:sz="4" w:space="0"/>
              <w:right w:val="single" w:color="auto" w:sz="4" w:space="0"/>
            </w:tcBorders>
            <w:vAlign w:val="center"/>
          </w:tcPr>
          <w:p w14:paraId="1D11DC75">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4048BBED">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EDA9975">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78BC7DC6">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2CDDD1DE">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24CBFEEA">
            <w:pPr>
              <w:spacing w:line="340" w:lineRule="exact"/>
              <w:jc w:val="center"/>
              <w:rPr>
                <w:rFonts w:ascii="仿宋" w:hAnsi="仿宋" w:eastAsia="仿宋" w:cs="宋体"/>
                <w:color w:val="auto"/>
                <w:szCs w:val="21"/>
                <w:highlight w:val="none"/>
              </w:rPr>
            </w:pPr>
          </w:p>
        </w:tc>
      </w:tr>
      <w:tr w14:paraId="3121F1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0328380B">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3</w:t>
            </w:r>
          </w:p>
        </w:tc>
        <w:tc>
          <w:tcPr>
            <w:tcW w:w="2356" w:type="dxa"/>
            <w:tcBorders>
              <w:top w:val="single" w:color="auto" w:sz="4" w:space="0"/>
              <w:left w:val="single" w:color="auto" w:sz="4" w:space="0"/>
              <w:bottom w:val="single" w:color="auto" w:sz="4" w:space="0"/>
              <w:right w:val="single" w:color="auto" w:sz="4" w:space="0"/>
            </w:tcBorders>
            <w:vAlign w:val="center"/>
          </w:tcPr>
          <w:p w14:paraId="3722795F">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7D7B8106">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E236B2B">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45157D50">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16ACEC48">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444991C5">
            <w:pPr>
              <w:spacing w:line="340" w:lineRule="exact"/>
              <w:jc w:val="center"/>
              <w:rPr>
                <w:rFonts w:ascii="仿宋" w:hAnsi="仿宋" w:eastAsia="仿宋" w:cs="宋体"/>
                <w:color w:val="auto"/>
                <w:szCs w:val="21"/>
                <w:highlight w:val="none"/>
              </w:rPr>
            </w:pPr>
          </w:p>
        </w:tc>
      </w:tr>
      <w:tr w14:paraId="3BE430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417DCB1E">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4</w:t>
            </w:r>
          </w:p>
        </w:tc>
        <w:tc>
          <w:tcPr>
            <w:tcW w:w="2356" w:type="dxa"/>
            <w:tcBorders>
              <w:top w:val="single" w:color="auto" w:sz="4" w:space="0"/>
              <w:left w:val="single" w:color="auto" w:sz="4" w:space="0"/>
              <w:bottom w:val="single" w:color="auto" w:sz="4" w:space="0"/>
              <w:right w:val="single" w:color="auto" w:sz="4" w:space="0"/>
            </w:tcBorders>
            <w:vAlign w:val="center"/>
          </w:tcPr>
          <w:p w14:paraId="15165F4F">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36888C59">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D39B460">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7931FDAF">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4AE4ED4B">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0420140C">
            <w:pPr>
              <w:spacing w:line="340" w:lineRule="exact"/>
              <w:jc w:val="center"/>
              <w:rPr>
                <w:rFonts w:ascii="仿宋" w:hAnsi="仿宋" w:eastAsia="仿宋" w:cs="宋体"/>
                <w:color w:val="auto"/>
                <w:szCs w:val="21"/>
                <w:highlight w:val="none"/>
              </w:rPr>
            </w:pPr>
          </w:p>
        </w:tc>
      </w:tr>
      <w:tr w14:paraId="519D74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097FACE0">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5</w:t>
            </w:r>
          </w:p>
        </w:tc>
        <w:tc>
          <w:tcPr>
            <w:tcW w:w="2356" w:type="dxa"/>
            <w:tcBorders>
              <w:top w:val="single" w:color="auto" w:sz="4" w:space="0"/>
              <w:left w:val="single" w:color="auto" w:sz="4" w:space="0"/>
              <w:bottom w:val="single" w:color="auto" w:sz="4" w:space="0"/>
              <w:right w:val="single" w:color="auto" w:sz="4" w:space="0"/>
            </w:tcBorders>
            <w:vAlign w:val="center"/>
          </w:tcPr>
          <w:p w14:paraId="01B6C631">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575244D5">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15BBCB6">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531B7583">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734DB002">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6C317CD7">
            <w:pPr>
              <w:spacing w:line="340" w:lineRule="exact"/>
              <w:jc w:val="center"/>
              <w:rPr>
                <w:rFonts w:ascii="仿宋" w:hAnsi="仿宋" w:eastAsia="仿宋" w:cs="宋体"/>
                <w:color w:val="auto"/>
                <w:szCs w:val="21"/>
                <w:highlight w:val="none"/>
              </w:rPr>
            </w:pPr>
          </w:p>
        </w:tc>
      </w:tr>
      <w:tr w14:paraId="5B8CE8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258029B5">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6</w:t>
            </w:r>
          </w:p>
        </w:tc>
        <w:tc>
          <w:tcPr>
            <w:tcW w:w="2356" w:type="dxa"/>
            <w:tcBorders>
              <w:top w:val="single" w:color="auto" w:sz="4" w:space="0"/>
              <w:left w:val="single" w:color="auto" w:sz="4" w:space="0"/>
              <w:bottom w:val="single" w:color="auto" w:sz="4" w:space="0"/>
              <w:right w:val="single" w:color="auto" w:sz="4" w:space="0"/>
            </w:tcBorders>
            <w:vAlign w:val="center"/>
          </w:tcPr>
          <w:p w14:paraId="639C8E56">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3A9564A4">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28C9110">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29C96C9E">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1F5100AB">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7A56ACA1">
            <w:pPr>
              <w:spacing w:line="340" w:lineRule="exact"/>
              <w:jc w:val="center"/>
              <w:rPr>
                <w:rFonts w:ascii="仿宋" w:hAnsi="仿宋" w:eastAsia="仿宋" w:cs="宋体"/>
                <w:color w:val="auto"/>
                <w:szCs w:val="21"/>
                <w:highlight w:val="none"/>
              </w:rPr>
            </w:pPr>
          </w:p>
        </w:tc>
      </w:tr>
      <w:tr w14:paraId="5486F6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02E6D2E3">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7</w:t>
            </w:r>
          </w:p>
        </w:tc>
        <w:tc>
          <w:tcPr>
            <w:tcW w:w="2356" w:type="dxa"/>
            <w:tcBorders>
              <w:top w:val="single" w:color="auto" w:sz="4" w:space="0"/>
              <w:left w:val="single" w:color="auto" w:sz="4" w:space="0"/>
              <w:bottom w:val="single" w:color="auto" w:sz="4" w:space="0"/>
              <w:right w:val="single" w:color="auto" w:sz="4" w:space="0"/>
            </w:tcBorders>
            <w:vAlign w:val="center"/>
          </w:tcPr>
          <w:p w14:paraId="17C61EDA">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119C5B71">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A5A0058">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23454DF3">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7A5393DB">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50B2B008">
            <w:pPr>
              <w:spacing w:line="340" w:lineRule="exact"/>
              <w:jc w:val="center"/>
              <w:rPr>
                <w:rFonts w:ascii="仿宋" w:hAnsi="仿宋" w:eastAsia="仿宋" w:cs="宋体"/>
                <w:color w:val="auto"/>
                <w:szCs w:val="21"/>
                <w:highlight w:val="none"/>
              </w:rPr>
            </w:pPr>
          </w:p>
        </w:tc>
      </w:tr>
      <w:tr w14:paraId="7A3A6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2CF29F6A">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8</w:t>
            </w:r>
          </w:p>
        </w:tc>
        <w:tc>
          <w:tcPr>
            <w:tcW w:w="2356" w:type="dxa"/>
            <w:tcBorders>
              <w:top w:val="single" w:color="auto" w:sz="4" w:space="0"/>
              <w:left w:val="single" w:color="auto" w:sz="4" w:space="0"/>
              <w:bottom w:val="single" w:color="auto" w:sz="4" w:space="0"/>
              <w:right w:val="single" w:color="auto" w:sz="4" w:space="0"/>
            </w:tcBorders>
            <w:vAlign w:val="center"/>
          </w:tcPr>
          <w:p w14:paraId="3B8896FC">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160C2392">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2F69F8D">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124C6074">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00EAC604">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789CD84D">
            <w:pPr>
              <w:spacing w:line="340" w:lineRule="exact"/>
              <w:jc w:val="center"/>
              <w:rPr>
                <w:rFonts w:ascii="仿宋" w:hAnsi="仿宋" w:eastAsia="仿宋" w:cs="宋体"/>
                <w:color w:val="auto"/>
                <w:szCs w:val="21"/>
                <w:highlight w:val="none"/>
              </w:rPr>
            </w:pPr>
          </w:p>
        </w:tc>
      </w:tr>
      <w:tr w14:paraId="450D27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77F681FD">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9</w:t>
            </w:r>
          </w:p>
        </w:tc>
        <w:tc>
          <w:tcPr>
            <w:tcW w:w="2356" w:type="dxa"/>
            <w:tcBorders>
              <w:top w:val="single" w:color="auto" w:sz="4" w:space="0"/>
              <w:left w:val="single" w:color="auto" w:sz="4" w:space="0"/>
              <w:bottom w:val="single" w:color="auto" w:sz="4" w:space="0"/>
              <w:right w:val="single" w:color="auto" w:sz="4" w:space="0"/>
            </w:tcBorders>
            <w:vAlign w:val="center"/>
          </w:tcPr>
          <w:p w14:paraId="789A06DA">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252424CC">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706ABBF">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24E7859F">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37C351D1">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5BA5E142">
            <w:pPr>
              <w:spacing w:line="340" w:lineRule="exact"/>
              <w:jc w:val="center"/>
              <w:rPr>
                <w:rFonts w:ascii="仿宋" w:hAnsi="仿宋" w:eastAsia="仿宋" w:cs="宋体"/>
                <w:color w:val="auto"/>
                <w:szCs w:val="21"/>
                <w:highlight w:val="none"/>
              </w:rPr>
            </w:pPr>
          </w:p>
        </w:tc>
      </w:tr>
      <w:tr w14:paraId="64DB52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6D9071A9">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10</w:t>
            </w:r>
          </w:p>
        </w:tc>
        <w:tc>
          <w:tcPr>
            <w:tcW w:w="2356" w:type="dxa"/>
            <w:tcBorders>
              <w:top w:val="single" w:color="auto" w:sz="4" w:space="0"/>
              <w:left w:val="single" w:color="auto" w:sz="4" w:space="0"/>
              <w:bottom w:val="single" w:color="auto" w:sz="4" w:space="0"/>
              <w:right w:val="single" w:color="auto" w:sz="4" w:space="0"/>
            </w:tcBorders>
            <w:vAlign w:val="center"/>
          </w:tcPr>
          <w:p w14:paraId="404EEE43">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122C0000">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C4B0A1C">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71F21AA5">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2724AD12">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23BEA413">
            <w:pPr>
              <w:spacing w:line="340" w:lineRule="exact"/>
              <w:jc w:val="center"/>
              <w:rPr>
                <w:rFonts w:ascii="仿宋" w:hAnsi="仿宋" w:eastAsia="仿宋" w:cs="宋体"/>
                <w:color w:val="auto"/>
                <w:szCs w:val="21"/>
                <w:highlight w:val="none"/>
              </w:rPr>
            </w:pPr>
          </w:p>
        </w:tc>
      </w:tr>
      <w:tr w14:paraId="6AE156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7D0C396A">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11</w:t>
            </w:r>
          </w:p>
        </w:tc>
        <w:tc>
          <w:tcPr>
            <w:tcW w:w="2356" w:type="dxa"/>
            <w:tcBorders>
              <w:top w:val="single" w:color="auto" w:sz="4" w:space="0"/>
              <w:left w:val="single" w:color="auto" w:sz="4" w:space="0"/>
              <w:bottom w:val="single" w:color="auto" w:sz="4" w:space="0"/>
              <w:right w:val="single" w:color="auto" w:sz="4" w:space="0"/>
            </w:tcBorders>
            <w:vAlign w:val="center"/>
          </w:tcPr>
          <w:p w14:paraId="08297FEE">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6CA4793B">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C332605">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168BE578">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587A53AE">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1890DDAD">
            <w:pPr>
              <w:spacing w:line="340" w:lineRule="exact"/>
              <w:jc w:val="center"/>
              <w:rPr>
                <w:rFonts w:ascii="仿宋" w:hAnsi="仿宋" w:eastAsia="仿宋" w:cs="宋体"/>
                <w:color w:val="auto"/>
                <w:szCs w:val="21"/>
                <w:highlight w:val="none"/>
              </w:rPr>
            </w:pPr>
          </w:p>
        </w:tc>
      </w:tr>
      <w:tr w14:paraId="1C659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02BC74F8">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12</w:t>
            </w:r>
          </w:p>
        </w:tc>
        <w:tc>
          <w:tcPr>
            <w:tcW w:w="2356" w:type="dxa"/>
            <w:tcBorders>
              <w:top w:val="single" w:color="auto" w:sz="4" w:space="0"/>
              <w:left w:val="single" w:color="auto" w:sz="4" w:space="0"/>
              <w:bottom w:val="single" w:color="auto" w:sz="4" w:space="0"/>
              <w:right w:val="single" w:color="auto" w:sz="4" w:space="0"/>
            </w:tcBorders>
            <w:vAlign w:val="center"/>
          </w:tcPr>
          <w:p w14:paraId="2FBBF3E1">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2D7F66F5">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C92FC9F">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4EA5F135">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33FDBC40">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410F6D78">
            <w:pPr>
              <w:spacing w:line="340" w:lineRule="exact"/>
              <w:jc w:val="center"/>
              <w:rPr>
                <w:rFonts w:ascii="仿宋" w:hAnsi="仿宋" w:eastAsia="仿宋" w:cs="宋体"/>
                <w:color w:val="auto"/>
                <w:szCs w:val="21"/>
                <w:highlight w:val="none"/>
              </w:rPr>
            </w:pPr>
          </w:p>
        </w:tc>
      </w:tr>
      <w:tr w14:paraId="0666FD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770B9F60">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13</w:t>
            </w:r>
          </w:p>
        </w:tc>
        <w:tc>
          <w:tcPr>
            <w:tcW w:w="2356" w:type="dxa"/>
            <w:tcBorders>
              <w:top w:val="single" w:color="auto" w:sz="4" w:space="0"/>
              <w:left w:val="single" w:color="auto" w:sz="4" w:space="0"/>
              <w:bottom w:val="single" w:color="auto" w:sz="4" w:space="0"/>
              <w:right w:val="single" w:color="auto" w:sz="4" w:space="0"/>
            </w:tcBorders>
            <w:vAlign w:val="center"/>
          </w:tcPr>
          <w:p w14:paraId="523F2CD9">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336E6E4F">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BF7D6F4">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3881188B">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29E5C9E8">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0876EBF8">
            <w:pPr>
              <w:spacing w:line="340" w:lineRule="exact"/>
              <w:jc w:val="center"/>
              <w:rPr>
                <w:rFonts w:ascii="仿宋" w:hAnsi="仿宋" w:eastAsia="仿宋" w:cs="宋体"/>
                <w:color w:val="auto"/>
                <w:szCs w:val="21"/>
                <w:highlight w:val="none"/>
              </w:rPr>
            </w:pPr>
          </w:p>
        </w:tc>
      </w:tr>
      <w:tr w14:paraId="7B3DFF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35DB6C65">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14</w:t>
            </w:r>
          </w:p>
        </w:tc>
        <w:tc>
          <w:tcPr>
            <w:tcW w:w="2356" w:type="dxa"/>
            <w:tcBorders>
              <w:top w:val="single" w:color="auto" w:sz="4" w:space="0"/>
              <w:left w:val="single" w:color="auto" w:sz="4" w:space="0"/>
              <w:bottom w:val="single" w:color="auto" w:sz="4" w:space="0"/>
              <w:right w:val="single" w:color="auto" w:sz="4" w:space="0"/>
            </w:tcBorders>
            <w:vAlign w:val="center"/>
          </w:tcPr>
          <w:p w14:paraId="7DFD59FB">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38B25403">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906367D">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1228BF04">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00AF5630">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2A285B07">
            <w:pPr>
              <w:spacing w:line="340" w:lineRule="exact"/>
              <w:jc w:val="center"/>
              <w:rPr>
                <w:rFonts w:ascii="仿宋" w:hAnsi="仿宋" w:eastAsia="仿宋" w:cs="宋体"/>
                <w:color w:val="auto"/>
                <w:szCs w:val="21"/>
                <w:highlight w:val="none"/>
              </w:rPr>
            </w:pPr>
          </w:p>
        </w:tc>
      </w:tr>
      <w:tr w14:paraId="5F0923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67DB0ECC">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15</w:t>
            </w:r>
          </w:p>
        </w:tc>
        <w:tc>
          <w:tcPr>
            <w:tcW w:w="2356" w:type="dxa"/>
            <w:tcBorders>
              <w:top w:val="single" w:color="auto" w:sz="4" w:space="0"/>
              <w:left w:val="single" w:color="auto" w:sz="4" w:space="0"/>
              <w:bottom w:val="single" w:color="auto" w:sz="4" w:space="0"/>
              <w:right w:val="single" w:color="auto" w:sz="4" w:space="0"/>
            </w:tcBorders>
            <w:vAlign w:val="center"/>
          </w:tcPr>
          <w:p w14:paraId="229EA9B0">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7EF4C4C6">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5D1DDAF">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14180ED1">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491D8F7B">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72AD0348">
            <w:pPr>
              <w:spacing w:line="340" w:lineRule="exact"/>
              <w:jc w:val="center"/>
              <w:rPr>
                <w:rFonts w:ascii="仿宋" w:hAnsi="仿宋" w:eastAsia="仿宋" w:cs="宋体"/>
                <w:color w:val="auto"/>
                <w:szCs w:val="21"/>
                <w:highlight w:val="none"/>
              </w:rPr>
            </w:pPr>
          </w:p>
        </w:tc>
      </w:tr>
      <w:tr w14:paraId="193195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0066770E">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16</w:t>
            </w:r>
          </w:p>
        </w:tc>
        <w:tc>
          <w:tcPr>
            <w:tcW w:w="2356" w:type="dxa"/>
            <w:tcBorders>
              <w:top w:val="single" w:color="auto" w:sz="4" w:space="0"/>
              <w:left w:val="single" w:color="auto" w:sz="4" w:space="0"/>
              <w:bottom w:val="single" w:color="auto" w:sz="4" w:space="0"/>
              <w:right w:val="single" w:color="auto" w:sz="4" w:space="0"/>
            </w:tcBorders>
            <w:vAlign w:val="center"/>
          </w:tcPr>
          <w:p w14:paraId="6B204FF9">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403C3ADA">
            <w:pPr>
              <w:widowControl/>
              <w:spacing w:line="340" w:lineRule="exact"/>
              <w:jc w:val="left"/>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76ECE9F">
            <w:pPr>
              <w:widowControl/>
              <w:spacing w:line="340" w:lineRule="exact"/>
              <w:jc w:val="left"/>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5C58CC9F">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55F56114">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44FA0EA8">
            <w:pPr>
              <w:spacing w:line="340" w:lineRule="exact"/>
              <w:jc w:val="center"/>
              <w:rPr>
                <w:rFonts w:ascii="仿宋" w:hAnsi="仿宋" w:eastAsia="仿宋" w:cs="宋体"/>
                <w:color w:val="auto"/>
                <w:szCs w:val="21"/>
                <w:highlight w:val="none"/>
              </w:rPr>
            </w:pPr>
          </w:p>
        </w:tc>
      </w:tr>
      <w:tr w14:paraId="0D913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15" w:type="dxa"/>
            <w:tcBorders>
              <w:top w:val="single" w:color="auto" w:sz="4" w:space="0"/>
              <w:left w:val="single" w:color="auto" w:sz="12" w:space="0"/>
              <w:bottom w:val="single" w:color="auto" w:sz="4" w:space="0"/>
              <w:right w:val="single" w:color="auto" w:sz="4" w:space="0"/>
            </w:tcBorders>
            <w:vAlign w:val="center"/>
          </w:tcPr>
          <w:p w14:paraId="614E641E">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17</w:t>
            </w:r>
          </w:p>
        </w:tc>
        <w:tc>
          <w:tcPr>
            <w:tcW w:w="2356" w:type="dxa"/>
            <w:tcBorders>
              <w:top w:val="single" w:color="auto" w:sz="4" w:space="0"/>
              <w:left w:val="single" w:color="auto" w:sz="4" w:space="0"/>
              <w:bottom w:val="single" w:color="auto" w:sz="4" w:space="0"/>
              <w:right w:val="single" w:color="auto" w:sz="4" w:space="0"/>
            </w:tcBorders>
            <w:vAlign w:val="center"/>
          </w:tcPr>
          <w:p w14:paraId="711E5C1F">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14:paraId="54A43B0C">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EEEBAD1">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4" w:space="0"/>
              <w:right w:val="single" w:color="auto" w:sz="4" w:space="0"/>
            </w:tcBorders>
            <w:vAlign w:val="center"/>
          </w:tcPr>
          <w:p w14:paraId="7CFE76F6">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4" w:space="0"/>
              <w:right w:val="single" w:color="auto" w:sz="4" w:space="0"/>
            </w:tcBorders>
            <w:vAlign w:val="center"/>
          </w:tcPr>
          <w:p w14:paraId="32E8BB49">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4" w:space="0"/>
              <w:right w:val="single" w:color="auto" w:sz="12" w:space="0"/>
            </w:tcBorders>
            <w:vAlign w:val="center"/>
          </w:tcPr>
          <w:p w14:paraId="25A30FDE">
            <w:pPr>
              <w:spacing w:line="340" w:lineRule="exact"/>
              <w:jc w:val="center"/>
              <w:rPr>
                <w:rFonts w:ascii="仿宋" w:hAnsi="仿宋" w:eastAsia="仿宋" w:cs="宋体"/>
                <w:color w:val="auto"/>
                <w:szCs w:val="21"/>
                <w:highlight w:val="none"/>
              </w:rPr>
            </w:pPr>
          </w:p>
        </w:tc>
      </w:tr>
      <w:tr w14:paraId="1FCF44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15" w:type="dxa"/>
            <w:tcBorders>
              <w:top w:val="single" w:color="auto" w:sz="4" w:space="0"/>
              <w:left w:val="single" w:color="auto" w:sz="12" w:space="0"/>
              <w:bottom w:val="single" w:color="auto" w:sz="12" w:space="0"/>
              <w:right w:val="single" w:color="auto" w:sz="4" w:space="0"/>
            </w:tcBorders>
            <w:vAlign w:val="center"/>
          </w:tcPr>
          <w:p w14:paraId="75A80575">
            <w:pPr>
              <w:spacing w:line="340" w:lineRule="exact"/>
              <w:jc w:val="center"/>
              <w:rPr>
                <w:rFonts w:ascii="仿宋" w:hAnsi="仿宋" w:eastAsia="仿宋"/>
                <w:color w:val="auto"/>
                <w:szCs w:val="21"/>
                <w:highlight w:val="none"/>
              </w:rPr>
            </w:pPr>
            <w:r>
              <w:rPr>
                <w:rFonts w:hint="eastAsia" w:ascii="仿宋" w:hAnsi="仿宋" w:eastAsia="仿宋"/>
                <w:color w:val="auto"/>
                <w:szCs w:val="21"/>
                <w:highlight w:val="none"/>
              </w:rPr>
              <w:t>18</w:t>
            </w:r>
          </w:p>
        </w:tc>
        <w:tc>
          <w:tcPr>
            <w:tcW w:w="2356" w:type="dxa"/>
            <w:tcBorders>
              <w:top w:val="single" w:color="auto" w:sz="4" w:space="0"/>
              <w:left w:val="single" w:color="auto" w:sz="4" w:space="0"/>
              <w:bottom w:val="single" w:color="auto" w:sz="12" w:space="0"/>
              <w:right w:val="single" w:color="auto" w:sz="4" w:space="0"/>
            </w:tcBorders>
            <w:vAlign w:val="center"/>
          </w:tcPr>
          <w:p w14:paraId="7F07A2E9">
            <w:pPr>
              <w:widowControl/>
              <w:spacing w:line="340" w:lineRule="exact"/>
              <w:jc w:val="left"/>
              <w:rPr>
                <w:rFonts w:ascii="仿宋" w:hAnsi="仿宋" w:eastAsia="仿宋" w:cs="宋体"/>
                <w:color w:val="auto"/>
                <w:kern w:val="0"/>
                <w:szCs w:val="21"/>
                <w:highlight w:val="none"/>
              </w:rPr>
            </w:pPr>
          </w:p>
        </w:tc>
        <w:tc>
          <w:tcPr>
            <w:tcW w:w="1470" w:type="dxa"/>
            <w:tcBorders>
              <w:top w:val="single" w:color="auto" w:sz="4" w:space="0"/>
              <w:left w:val="single" w:color="auto" w:sz="4" w:space="0"/>
              <w:bottom w:val="single" w:color="auto" w:sz="12" w:space="0"/>
              <w:right w:val="single" w:color="auto" w:sz="4" w:space="0"/>
            </w:tcBorders>
            <w:vAlign w:val="center"/>
          </w:tcPr>
          <w:p w14:paraId="70374C29">
            <w:pPr>
              <w:widowControl/>
              <w:spacing w:line="340" w:lineRule="exact"/>
              <w:jc w:val="center"/>
              <w:rPr>
                <w:rFonts w:ascii="仿宋" w:hAnsi="仿宋" w:eastAsia="仿宋" w:cs="宋体"/>
                <w:color w:val="auto"/>
                <w:kern w:val="0"/>
                <w:szCs w:val="21"/>
                <w:highlight w:val="none"/>
              </w:rPr>
            </w:pPr>
          </w:p>
        </w:tc>
        <w:tc>
          <w:tcPr>
            <w:tcW w:w="567" w:type="dxa"/>
            <w:tcBorders>
              <w:top w:val="single" w:color="auto" w:sz="4" w:space="0"/>
              <w:left w:val="single" w:color="auto" w:sz="4" w:space="0"/>
              <w:bottom w:val="single" w:color="auto" w:sz="12" w:space="0"/>
              <w:right w:val="single" w:color="auto" w:sz="4" w:space="0"/>
            </w:tcBorders>
            <w:vAlign w:val="center"/>
          </w:tcPr>
          <w:p w14:paraId="3036F72C">
            <w:pPr>
              <w:widowControl/>
              <w:spacing w:line="340" w:lineRule="exact"/>
              <w:jc w:val="center"/>
              <w:rPr>
                <w:rFonts w:ascii="仿宋" w:hAnsi="仿宋" w:eastAsia="仿宋" w:cs="宋体"/>
                <w:color w:val="auto"/>
                <w:kern w:val="0"/>
                <w:szCs w:val="21"/>
                <w:highlight w:val="none"/>
              </w:rPr>
            </w:pPr>
          </w:p>
        </w:tc>
        <w:tc>
          <w:tcPr>
            <w:tcW w:w="1415" w:type="dxa"/>
            <w:tcBorders>
              <w:top w:val="single" w:color="auto" w:sz="4" w:space="0"/>
              <w:left w:val="single" w:color="auto" w:sz="4" w:space="0"/>
              <w:bottom w:val="single" w:color="auto" w:sz="12" w:space="0"/>
              <w:right w:val="single" w:color="auto" w:sz="4" w:space="0"/>
            </w:tcBorders>
            <w:vAlign w:val="center"/>
          </w:tcPr>
          <w:p w14:paraId="7E354C9A">
            <w:pPr>
              <w:widowControl/>
              <w:spacing w:line="340" w:lineRule="exact"/>
              <w:jc w:val="center"/>
              <w:rPr>
                <w:rFonts w:ascii="仿宋" w:hAnsi="仿宋" w:eastAsia="仿宋" w:cs="宋体"/>
                <w:color w:val="auto"/>
                <w:kern w:val="0"/>
                <w:szCs w:val="21"/>
                <w:highlight w:val="none"/>
              </w:rPr>
            </w:pPr>
          </w:p>
        </w:tc>
        <w:tc>
          <w:tcPr>
            <w:tcW w:w="1333" w:type="dxa"/>
            <w:tcBorders>
              <w:top w:val="single" w:color="auto" w:sz="4" w:space="0"/>
              <w:left w:val="single" w:color="auto" w:sz="4" w:space="0"/>
              <w:bottom w:val="single" w:color="auto" w:sz="12" w:space="0"/>
              <w:right w:val="single" w:color="auto" w:sz="4" w:space="0"/>
            </w:tcBorders>
            <w:vAlign w:val="center"/>
          </w:tcPr>
          <w:p w14:paraId="2F227847">
            <w:pPr>
              <w:spacing w:line="340" w:lineRule="exact"/>
              <w:jc w:val="center"/>
              <w:rPr>
                <w:rFonts w:ascii="仿宋" w:hAnsi="仿宋" w:eastAsia="仿宋" w:cs="宋体"/>
                <w:color w:val="auto"/>
                <w:szCs w:val="21"/>
                <w:highlight w:val="none"/>
              </w:rPr>
            </w:pPr>
          </w:p>
        </w:tc>
        <w:tc>
          <w:tcPr>
            <w:tcW w:w="891" w:type="dxa"/>
            <w:tcBorders>
              <w:top w:val="single" w:color="auto" w:sz="4" w:space="0"/>
              <w:left w:val="single" w:color="auto" w:sz="4" w:space="0"/>
              <w:bottom w:val="single" w:color="auto" w:sz="12" w:space="0"/>
              <w:right w:val="single" w:color="auto" w:sz="12" w:space="0"/>
            </w:tcBorders>
            <w:vAlign w:val="center"/>
          </w:tcPr>
          <w:p w14:paraId="340966BE">
            <w:pPr>
              <w:spacing w:line="340" w:lineRule="exact"/>
              <w:jc w:val="center"/>
              <w:rPr>
                <w:rFonts w:ascii="仿宋" w:hAnsi="仿宋" w:eastAsia="仿宋" w:cs="宋体"/>
                <w:color w:val="auto"/>
                <w:szCs w:val="21"/>
                <w:highlight w:val="none"/>
              </w:rPr>
            </w:pPr>
          </w:p>
        </w:tc>
      </w:tr>
    </w:tbl>
    <w:p w14:paraId="68E84A92">
      <w:pPr>
        <w:spacing w:line="340" w:lineRule="exact"/>
        <w:rPr>
          <w:rFonts w:ascii="仿宋" w:hAnsi="仿宋" w:eastAsia="仿宋"/>
          <w:b/>
          <w:color w:val="auto"/>
          <w:sz w:val="18"/>
          <w:szCs w:val="18"/>
          <w:highlight w:val="none"/>
        </w:rPr>
      </w:pPr>
    </w:p>
    <w:p w14:paraId="4832A645">
      <w:pPr>
        <w:spacing w:line="340" w:lineRule="exact"/>
        <w:rPr>
          <w:rFonts w:ascii="仿宋" w:hAnsi="仿宋" w:eastAsia="仿宋"/>
          <w:color w:val="auto"/>
          <w:sz w:val="18"/>
          <w:szCs w:val="18"/>
          <w:highlight w:val="none"/>
        </w:rPr>
      </w:pPr>
    </w:p>
    <w:p w14:paraId="26C2D558">
      <w:pPr>
        <w:spacing w:line="340" w:lineRule="exact"/>
        <w:rPr>
          <w:rFonts w:ascii="仿宋" w:hAnsi="仿宋" w:eastAsia="仿宋"/>
          <w:b/>
          <w:color w:val="auto"/>
          <w:sz w:val="24"/>
          <w:szCs w:val="20"/>
          <w:highlight w:val="none"/>
        </w:rPr>
      </w:pPr>
      <w:r>
        <w:rPr>
          <w:rFonts w:hint="eastAsia" w:ascii="仿宋" w:hAnsi="仿宋" w:eastAsia="仿宋"/>
          <w:b/>
          <w:color w:val="auto"/>
          <w:sz w:val="18"/>
          <w:szCs w:val="18"/>
          <w:highlight w:val="none"/>
        </w:rPr>
        <w:br w:type="page"/>
      </w:r>
      <w:r>
        <w:rPr>
          <w:rFonts w:hint="eastAsia" w:ascii="仿宋" w:hAnsi="仿宋" w:eastAsia="仿宋"/>
          <w:b/>
          <w:color w:val="auto"/>
          <w:sz w:val="24"/>
          <w:highlight w:val="none"/>
        </w:rPr>
        <w:t>附件2</w:t>
      </w:r>
    </w:p>
    <w:p w14:paraId="0154F4CF">
      <w:pPr>
        <w:adjustRightInd w:val="0"/>
        <w:snapToGrid w:val="0"/>
        <w:spacing w:line="360" w:lineRule="auto"/>
        <w:jc w:val="center"/>
        <w:rPr>
          <w:rFonts w:ascii="仿宋" w:hAnsi="仿宋" w:eastAsia="仿宋"/>
          <w:b/>
          <w:snapToGrid w:val="0"/>
          <w:color w:val="auto"/>
          <w:kern w:val="0"/>
          <w:sz w:val="24"/>
          <w:highlight w:val="none"/>
        </w:rPr>
      </w:pPr>
      <w:r>
        <w:rPr>
          <w:rFonts w:hint="eastAsia" w:ascii="仿宋" w:hAnsi="仿宋" w:eastAsia="仿宋"/>
          <w:b/>
          <w:snapToGrid w:val="0"/>
          <w:color w:val="auto"/>
          <w:kern w:val="0"/>
          <w:sz w:val="24"/>
          <w:highlight w:val="none"/>
        </w:rPr>
        <w:t>工程质量保修书</w:t>
      </w:r>
    </w:p>
    <w:p w14:paraId="08D73457">
      <w:pPr>
        <w:adjustRightInd w:val="0"/>
        <w:snapToGrid w:val="0"/>
        <w:spacing w:line="360" w:lineRule="auto"/>
        <w:jc w:val="center"/>
        <w:rPr>
          <w:rFonts w:ascii="仿宋" w:hAnsi="仿宋" w:eastAsia="仿宋"/>
          <w:snapToGrid w:val="0"/>
          <w:color w:val="auto"/>
          <w:kern w:val="0"/>
          <w:sz w:val="24"/>
          <w:highlight w:val="none"/>
        </w:rPr>
      </w:pPr>
    </w:p>
    <w:p w14:paraId="77104138">
      <w:pPr>
        <w:adjustRightInd w:val="0"/>
        <w:snapToGrid w:val="0"/>
        <w:spacing w:line="360" w:lineRule="auto"/>
        <w:ind w:firstLine="420" w:firstLineChars="200"/>
        <w:rPr>
          <w:rFonts w:ascii="仿宋" w:hAnsi="仿宋" w:eastAsia="仿宋"/>
          <w:snapToGrid w:val="0"/>
          <w:color w:val="auto"/>
          <w:kern w:val="0"/>
          <w:szCs w:val="21"/>
          <w:highlight w:val="none"/>
          <w:u w:val="single"/>
        </w:rPr>
      </w:pPr>
      <w:r>
        <w:rPr>
          <w:rFonts w:hint="eastAsia" w:ascii="仿宋" w:hAnsi="仿宋" w:eastAsia="仿宋"/>
          <w:snapToGrid w:val="0"/>
          <w:color w:val="auto"/>
          <w:kern w:val="0"/>
          <w:szCs w:val="21"/>
          <w:highlight w:val="none"/>
        </w:rPr>
        <w:t>发包人（全称）：</w:t>
      </w:r>
      <w:r>
        <w:rPr>
          <w:rFonts w:hint="eastAsia" w:ascii="仿宋" w:hAnsi="仿宋" w:eastAsia="仿宋"/>
          <w:snapToGrid w:val="0"/>
          <w:color w:val="auto"/>
          <w:kern w:val="0"/>
          <w:szCs w:val="21"/>
          <w:highlight w:val="none"/>
          <w:u w:val="single"/>
        </w:rPr>
        <w:t xml:space="preserve">                                             </w:t>
      </w:r>
    </w:p>
    <w:p w14:paraId="1A7BA998">
      <w:pPr>
        <w:adjustRightInd w:val="0"/>
        <w:snapToGrid w:val="0"/>
        <w:spacing w:line="360" w:lineRule="auto"/>
        <w:ind w:firstLine="420" w:firstLineChars="200"/>
        <w:rPr>
          <w:rFonts w:ascii="仿宋" w:hAnsi="仿宋" w:eastAsia="仿宋"/>
          <w:snapToGrid w:val="0"/>
          <w:color w:val="auto"/>
          <w:kern w:val="0"/>
          <w:szCs w:val="21"/>
          <w:highlight w:val="none"/>
          <w:u w:val="single"/>
        </w:rPr>
      </w:pPr>
      <w:r>
        <w:rPr>
          <w:rFonts w:hint="eastAsia" w:ascii="仿宋" w:hAnsi="仿宋" w:eastAsia="仿宋"/>
          <w:snapToGrid w:val="0"/>
          <w:color w:val="auto"/>
          <w:kern w:val="0"/>
          <w:szCs w:val="21"/>
          <w:highlight w:val="none"/>
        </w:rPr>
        <w:t>承包人（全称）：</w:t>
      </w:r>
      <w:r>
        <w:rPr>
          <w:rFonts w:hint="eastAsia" w:ascii="仿宋" w:hAnsi="仿宋" w:eastAsia="仿宋"/>
          <w:snapToGrid w:val="0"/>
          <w:color w:val="auto"/>
          <w:kern w:val="0"/>
          <w:szCs w:val="21"/>
          <w:highlight w:val="none"/>
          <w:u w:val="single"/>
        </w:rPr>
        <w:t xml:space="preserve">                                             </w:t>
      </w:r>
    </w:p>
    <w:p w14:paraId="515051CF">
      <w:pPr>
        <w:adjustRightInd w:val="0"/>
        <w:snapToGrid w:val="0"/>
        <w:spacing w:line="360" w:lineRule="auto"/>
        <w:ind w:firstLine="420" w:firstLineChars="20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发包人、承包人根据《中华人民共和国建筑法》、《建设工程质量管理条例》、《房屋建筑工程质量保修办法》，经协商一致，对“</w:t>
      </w:r>
      <w:r>
        <w:rPr>
          <w:rFonts w:hint="eastAsia" w:ascii="仿宋" w:hAnsi="仿宋" w:eastAsia="仿宋"/>
          <w:snapToGrid w:val="0"/>
          <w:color w:val="auto"/>
          <w:kern w:val="0"/>
          <w:szCs w:val="21"/>
          <w:highlight w:val="none"/>
          <w:u w:val="single"/>
        </w:rPr>
        <w:t xml:space="preserve">        </w:t>
      </w:r>
      <w:r>
        <w:rPr>
          <w:rFonts w:hint="eastAsia" w:ascii="仿宋" w:hAnsi="仿宋" w:eastAsia="仿宋"/>
          <w:snapToGrid w:val="0"/>
          <w:color w:val="auto"/>
          <w:kern w:val="0"/>
          <w:szCs w:val="21"/>
          <w:highlight w:val="none"/>
        </w:rPr>
        <w:t>”签订工程质量保修书。</w:t>
      </w:r>
    </w:p>
    <w:p w14:paraId="34FAD213">
      <w:pPr>
        <w:adjustRightInd w:val="0"/>
        <w:snapToGrid w:val="0"/>
        <w:spacing w:line="360" w:lineRule="auto"/>
        <w:ind w:firstLine="460" w:firstLineChars="218"/>
        <w:rPr>
          <w:rFonts w:ascii="仿宋" w:hAnsi="仿宋" w:eastAsia="仿宋"/>
          <w:b/>
          <w:snapToGrid w:val="0"/>
          <w:color w:val="auto"/>
          <w:kern w:val="0"/>
          <w:szCs w:val="21"/>
          <w:highlight w:val="none"/>
        </w:rPr>
      </w:pPr>
      <w:r>
        <w:rPr>
          <w:rFonts w:hint="eastAsia" w:ascii="仿宋" w:hAnsi="仿宋" w:eastAsia="仿宋"/>
          <w:b/>
          <w:snapToGrid w:val="0"/>
          <w:color w:val="auto"/>
          <w:kern w:val="0"/>
          <w:szCs w:val="21"/>
          <w:highlight w:val="none"/>
        </w:rPr>
        <w:t>一、工程质量保修范围和内容</w:t>
      </w:r>
    </w:p>
    <w:p w14:paraId="1F1DF666">
      <w:pPr>
        <w:autoSpaceDE w:val="0"/>
        <w:autoSpaceDN w:val="0"/>
        <w:adjustRightInd w:val="0"/>
        <w:snapToGrid w:val="0"/>
        <w:spacing w:line="360" w:lineRule="auto"/>
        <w:ind w:firstLine="420" w:firstLineChars="200"/>
        <w:jc w:val="left"/>
        <w:rPr>
          <w:rFonts w:ascii="仿宋" w:hAnsi="仿宋" w:eastAsia="仿宋" w:cs="仿宋_GB2312"/>
          <w:snapToGrid w:val="0"/>
          <w:color w:val="auto"/>
          <w:kern w:val="0"/>
          <w:szCs w:val="21"/>
          <w:highlight w:val="none"/>
        </w:rPr>
      </w:pPr>
      <w:r>
        <w:rPr>
          <w:rFonts w:hint="eastAsia" w:ascii="仿宋" w:hAnsi="仿宋" w:eastAsia="仿宋"/>
          <w:snapToGrid w:val="0"/>
          <w:color w:val="auto"/>
          <w:kern w:val="0"/>
          <w:szCs w:val="21"/>
          <w:highlight w:val="none"/>
        </w:rPr>
        <w:t xml:space="preserve">质量保修范围包括      </w:t>
      </w:r>
      <w:r>
        <w:rPr>
          <w:rFonts w:hint="eastAsia" w:ascii="仿宋" w:hAnsi="仿宋" w:eastAsia="仿宋" w:cs="仿宋_GB2312"/>
          <w:snapToGrid w:val="0"/>
          <w:color w:val="auto"/>
          <w:kern w:val="0"/>
          <w:szCs w:val="21"/>
          <w:highlight w:val="none"/>
        </w:rPr>
        <w:t>（具体招标范围和工程内容以</w:t>
      </w:r>
      <w:r>
        <w:rPr>
          <w:rFonts w:hint="eastAsia" w:ascii="仿宋" w:hAnsi="仿宋" w:eastAsia="仿宋" w:cs="黑体"/>
          <w:snapToGrid w:val="0"/>
          <w:color w:val="auto"/>
          <w:kern w:val="0"/>
          <w:szCs w:val="21"/>
          <w:highlight w:val="none"/>
        </w:rPr>
        <w:t>第五章“工程量清单”描述为准）</w:t>
      </w:r>
      <w:r>
        <w:rPr>
          <w:rFonts w:hint="eastAsia" w:ascii="仿宋" w:hAnsi="仿宋" w:eastAsia="仿宋" w:cs="仿宋_GB2312"/>
          <w:snapToGrid w:val="0"/>
          <w:color w:val="auto"/>
          <w:kern w:val="0"/>
          <w:szCs w:val="21"/>
          <w:highlight w:val="none"/>
        </w:rPr>
        <w:t>。</w:t>
      </w:r>
    </w:p>
    <w:p w14:paraId="4AD89F27">
      <w:pPr>
        <w:adjustRightInd w:val="0"/>
        <w:snapToGrid w:val="0"/>
        <w:spacing w:line="360" w:lineRule="auto"/>
        <w:ind w:firstLine="420" w:firstLineChars="20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具体质量保修内容双方约定如下：</w:t>
      </w:r>
      <w:r>
        <w:rPr>
          <w:rFonts w:hint="eastAsia" w:ascii="仿宋" w:hAnsi="仿宋" w:eastAsia="仿宋"/>
          <w:snapToGrid w:val="0"/>
          <w:color w:val="auto"/>
          <w:kern w:val="0"/>
          <w:szCs w:val="21"/>
          <w:highlight w:val="none"/>
          <w:u w:val="single"/>
        </w:rPr>
        <w:t xml:space="preserve">对承包人承包施工的工程内容进行质量保修，凡属承包人施工质量问题引起的维修，均由承包人负责保修。因发包人或业主使用不当造成的返修费用由责任方负担。 </w:t>
      </w:r>
    </w:p>
    <w:p w14:paraId="3998485A">
      <w:pPr>
        <w:adjustRightInd w:val="0"/>
        <w:snapToGrid w:val="0"/>
        <w:spacing w:line="360" w:lineRule="auto"/>
        <w:ind w:firstLine="480"/>
        <w:rPr>
          <w:rFonts w:ascii="仿宋" w:hAnsi="仿宋" w:eastAsia="仿宋"/>
          <w:b/>
          <w:snapToGrid w:val="0"/>
          <w:color w:val="auto"/>
          <w:kern w:val="0"/>
          <w:szCs w:val="21"/>
          <w:highlight w:val="none"/>
        </w:rPr>
      </w:pPr>
      <w:r>
        <w:rPr>
          <w:rFonts w:hint="eastAsia" w:ascii="仿宋" w:hAnsi="仿宋" w:eastAsia="仿宋"/>
          <w:b/>
          <w:snapToGrid w:val="0"/>
          <w:color w:val="auto"/>
          <w:kern w:val="0"/>
          <w:szCs w:val="21"/>
          <w:highlight w:val="none"/>
        </w:rPr>
        <w:t>二、质量保修期</w:t>
      </w:r>
    </w:p>
    <w:p w14:paraId="21F8D41B">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双方根据《建设工程质量管理条例》、《房屋建筑工程质量保修办法》及国家有关规定，结合具体工程约定质量保修期如下：</w:t>
      </w:r>
    </w:p>
    <w:p w14:paraId="749D2542">
      <w:pPr>
        <w:adjustRightInd w:val="0"/>
        <w:snapToGrid w:val="0"/>
        <w:spacing w:line="360" w:lineRule="auto"/>
        <w:ind w:firstLine="480"/>
        <w:rPr>
          <w:rFonts w:hint="eastAsia" w:ascii="仿宋" w:hAnsi="仿宋" w:eastAsia="仿宋" w:cs="Times New Roman"/>
          <w:snapToGrid w:val="0"/>
          <w:color w:val="auto"/>
          <w:kern w:val="0"/>
          <w:szCs w:val="21"/>
          <w:highlight w:val="none"/>
        </w:rPr>
      </w:pPr>
      <w:r>
        <w:rPr>
          <w:rFonts w:hint="eastAsia" w:ascii="仿宋" w:hAnsi="仿宋" w:eastAsia="仿宋" w:cs="Times New Roman"/>
          <w:snapToGrid w:val="0"/>
          <w:color w:val="auto"/>
          <w:kern w:val="0"/>
          <w:szCs w:val="21"/>
          <w:highlight w:val="none"/>
        </w:rPr>
        <w:t>1</w:t>
      </w:r>
      <w:r>
        <w:rPr>
          <w:rFonts w:hint="eastAsia" w:ascii="仿宋" w:hAnsi="仿宋" w:eastAsia="仿宋" w:cs="Times New Roman"/>
          <w:snapToGrid w:val="0"/>
          <w:color w:val="auto"/>
          <w:kern w:val="0"/>
          <w:szCs w:val="21"/>
          <w:highlight w:val="none"/>
          <w:lang w:eastAsia="zh-CN"/>
        </w:rPr>
        <w:t>、</w:t>
      </w:r>
      <w:r>
        <w:rPr>
          <w:rFonts w:hint="eastAsia" w:ascii="仿宋" w:hAnsi="仿宋" w:eastAsia="仿宋" w:cs="Times New Roman"/>
          <w:snapToGrid w:val="0"/>
          <w:color w:val="auto"/>
          <w:kern w:val="0"/>
          <w:szCs w:val="21"/>
          <w:highlight w:val="none"/>
        </w:rPr>
        <w:t>地基基础工程和主体结构工程为设计文件规定的工程合理使用年限；</w:t>
      </w:r>
    </w:p>
    <w:p w14:paraId="00FF8C68">
      <w:pPr>
        <w:adjustRightInd w:val="0"/>
        <w:snapToGrid w:val="0"/>
        <w:spacing w:line="360" w:lineRule="auto"/>
        <w:ind w:firstLine="480"/>
        <w:rPr>
          <w:rFonts w:hint="eastAsia" w:ascii="仿宋" w:hAnsi="仿宋" w:eastAsia="仿宋" w:cs="Times New Roman"/>
          <w:snapToGrid w:val="0"/>
          <w:color w:val="auto"/>
          <w:kern w:val="0"/>
          <w:szCs w:val="21"/>
          <w:highlight w:val="none"/>
        </w:rPr>
      </w:pPr>
      <w:r>
        <w:rPr>
          <w:rFonts w:hint="eastAsia" w:ascii="仿宋" w:hAnsi="仿宋" w:eastAsia="仿宋" w:cs="Times New Roman"/>
          <w:snapToGrid w:val="0"/>
          <w:color w:val="auto"/>
          <w:kern w:val="0"/>
          <w:szCs w:val="21"/>
          <w:highlight w:val="none"/>
        </w:rPr>
        <w:t>2</w:t>
      </w:r>
      <w:r>
        <w:rPr>
          <w:rFonts w:hint="eastAsia" w:ascii="仿宋" w:hAnsi="仿宋" w:eastAsia="仿宋" w:cs="Times New Roman"/>
          <w:snapToGrid w:val="0"/>
          <w:color w:val="auto"/>
          <w:kern w:val="0"/>
          <w:szCs w:val="21"/>
          <w:highlight w:val="none"/>
          <w:lang w:eastAsia="zh-CN"/>
        </w:rPr>
        <w:t>、</w:t>
      </w:r>
      <w:r>
        <w:rPr>
          <w:rFonts w:hint="eastAsia" w:ascii="仿宋" w:hAnsi="仿宋" w:eastAsia="仿宋" w:cs="Times New Roman"/>
          <w:snapToGrid w:val="0"/>
          <w:color w:val="auto"/>
          <w:kern w:val="0"/>
          <w:szCs w:val="21"/>
          <w:highlight w:val="none"/>
        </w:rPr>
        <w:t>屋面防水工程、有防水要求的卫生间、房间和外墙面的防渗为五年；</w:t>
      </w:r>
    </w:p>
    <w:p w14:paraId="7E3706AC">
      <w:pPr>
        <w:adjustRightInd w:val="0"/>
        <w:snapToGrid w:val="0"/>
        <w:spacing w:line="360" w:lineRule="auto"/>
        <w:ind w:firstLine="480"/>
        <w:rPr>
          <w:rFonts w:hint="eastAsia" w:ascii="仿宋" w:hAnsi="仿宋" w:eastAsia="仿宋" w:cs="Times New Roman"/>
          <w:snapToGrid w:val="0"/>
          <w:color w:val="auto"/>
          <w:kern w:val="0"/>
          <w:szCs w:val="21"/>
          <w:highlight w:val="none"/>
        </w:rPr>
      </w:pPr>
      <w:r>
        <w:rPr>
          <w:rFonts w:hint="eastAsia" w:ascii="仿宋" w:hAnsi="仿宋" w:eastAsia="仿宋" w:cs="Times New Roman"/>
          <w:snapToGrid w:val="0"/>
          <w:color w:val="auto"/>
          <w:kern w:val="0"/>
          <w:szCs w:val="21"/>
          <w:highlight w:val="none"/>
        </w:rPr>
        <w:t>3</w:t>
      </w:r>
      <w:r>
        <w:rPr>
          <w:rFonts w:hint="eastAsia" w:ascii="仿宋" w:hAnsi="仿宋" w:eastAsia="仿宋" w:cs="Times New Roman"/>
          <w:snapToGrid w:val="0"/>
          <w:color w:val="auto"/>
          <w:kern w:val="0"/>
          <w:szCs w:val="21"/>
          <w:highlight w:val="none"/>
          <w:lang w:eastAsia="zh-CN"/>
        </w:rPr>
        <w:t>、</w:t>
      </w:r>
      <w:r>
        <w:rPr>
          <w:rFonts w:hint="eastAsia" w:ascii="仿宋" w:hAnsi="仿宋" w:eastAsia="仿宋" w:cs="Times New Roman"/>
          <w:snapToGrid w:val="0"/>
          <w:color w:val="auto"/>
          <w:kern w:val="0"/>
          <w:szCs w:val="21"/>
          <w:highlight w:val="none"/>
        </w:rPr>
        <w:t>装修工程为二年；</w:t>
      </w:r>
    </w:p>
    <w:p w14:paraId="3618505B">
      <w:pPr>
        <w:adjustRightInd w:val="0"/>
        <w:snapToGrid w:val="0"/>
        <w:spacing w:line="360" w:lineRule="auto"/>
        <w:ind w:firstLine="480"/>
        <w:rPr>
          <w:rFonts w:hint="eastAsia" w:ascii="仿宋" w:hAnsi="仿宋" w:eastAsia="仿宋" w:cs="Times New Roman"/>
          <w:snapToGrid w:val="0"/>
          <w:color w:val="auto"/>
          <w:kern w:val="0"/>
          <w:szCs w:val="21"/>
          <w:highlight w:val="none"/>
        </w:rPr>
      </w:pPr>
      <w:r>
        <w:rPr>
          <w:rFonts w:hint="eastAsia" w:ascii="仿宋" w:hAnsi="仿宋" w:eastAsia="仿宋" w:cs="Times New Roman"/>
          <w:snapToGrid w:val="0"/>
          <w:color w:val="auto"/>
          <w:kern w:val="0"/>
          <w:szCs w:val="21"/>
          <w:highlight w:val="none"/>
        </w:rPr>
        <w:t>4</w:t>
      </w:r>
      <w:r>
        <w:rPr>
          <w:rFonts w:hint="eastAsia" w:ascii="仿宋" w:hAnsi="仿宋" w:eastAsia="仿宋" w:cs="Times New Roman"/>
          <w:snapToGrid w:val="0"/>
          <w:color w:val="auto"/>
          <w:kern w:val="0"/>
          <w:szCs w:val="21"/>
          <w:highlight w:val="none"/>
          <w:lang w:eastAsia="zh-CN"/>
        </w:rPr>
        <w:t>、</w:t>
      </w:r>
      <w:r>
        <w:rPr>
          <w:rFonts w:hint="eastAsia" w:ascii="仿宋" w:hAnsi="仿宋" w:eastAsia="仿宋" w:cs="Times New Roman"/>
          <w:snapToGrid w:val="0"/>
          <w:color w:val="auto"/>
          <w:kern w:val="0"/>
          <w:szCs w:val="21"/>
          <w:highlight w:val="none"/>
        </w:rPr>
        <w:t>电气管线、给排水管道、设备安装工程为二年；</w:t>
      </w:r>
    </w:p>
    <w:p w14:paraId="3870CDFE">
      <w:pPr>
        <w:adjustRightInd w:val="0"/>
        <w:snapToGrid w:val="0"/>
        <w:spacing w:line="360" w:lineRule="auto"/>
        <w:ind w:firstLine="480"/>
        <w:rPr>
          <w:rFonts w:hint="eastAsia" w:ascii="仿宋" w:hAnsi="仿宋" w:eastAsia="仿宋" w:cs="Times New Roman"/>
          <w:snapToGrid w:val="0"/>
          <w:color w:val="auto"/>
          <w:kern w:val="0"/>
          <w:szCs w:val="21"/>
          <w:highlight w:val="none"/>
        </w:rPr>
      </w:pPr>
      <w:r>
        <w:rPr>
          <w:rFonts w:hint="eastAsia" w:ascii="仿宋" w:hAnsi="仿宋" w:eastAsia="仿宋" w:cs="Times New Roman"/>
          <w:snapToGrid w:val="0"/>
          <w:color w:val="auto"/>
          <w:kern w:val="0"/>
          <w:szCs w:val="21"/>
          <w:highlight w:val="none"/>
        </w:rPr>
        <w:t>5</w:t>
      </w:r>
      <w:r>
        <w:rPr>
          <w:rFonts w:hint="eastAsia" w:ascii="仿宋" w:hAnsi="仿宋" w:eastAsia="仿宋" w:cs="Times New Roman"/>
          <w:snapToGrid w:val="0"/>
          <w:color w:val="auto"/>
          <w:kern w:val="0"/>
          <w:szCs w:val="21"/>
          <w:highlight w:val="none"/>
          <w:lang w:eastAsia="zh-CN"/>
        </w:rPr>
        <w:t>、</w:t>
      </w:r>
      <w:r>
        <w:rPr>
          <w:rFonts w:hint="eastAsia" w:ascii="仿宋" w:hAnsi="仿宋" w:eastAsia="仿宋" w:cs="Times New Roman"/>
          <w:snapToGrid w:val="0"/>
          <w:color w:val="auto"/>
          <w:kern w:val="0"/>
          <w:szCs w:val="21"/>
          <w:highlight w:val="none"/>
        </w:rPr>
        <w:t>供热与供冷系统为二个采暖期、供冷期；</w:t>
      </w:r>
    </w:p>
    <w:p w14:paraId="4637EE3A">
      <w:pPr>
        <w:adjustRightInd w:val="0"/>
        <w:snapToGrid w:val="0"/>
        <w:spacing w:line="360" w:lineRule="auto"/>
        <w:ind w:firstLine="480"/>
        <w:rPr>
          <w:rFonts w:hint="eastAsia" w:ascii="仿宋" w:hAnsi="仿宋" w:eastAsia="仿宋" w:cs="Times New Roman"/>
          <w:snapToGrid w:val="0"/>
          <w:color w:val="auto"/>
          <w:kern w:val="0"/>
          <w:szCs w:val="21"/>
          <w:highlight w:val="none"/>
        </w:rPr>
      </w:pPr>
      <w:r>
        <w:rPr>
          <w:rFonts w:hint="eastAsia" w:ascii="仿宋" w:hAnsi="仿宋" w:eastAsia="仿宋" w:cs="Times New Roman"/>
          <w:snapToGrid w:val="0"/>
          <w:color w:val="auto"/>
          <w:kern w:val="0"/>
          <w:szCs w:val="21"/>
          <w:highlight w:val="none"/>
          <w:lang w:val="en-US" w:eastAsia="zh-CN"/>
        </w:rPr>
        <w:t>6</w:t>
      </w:r>
      <w:r>
        <w:rPr>
          <w:rFonts w:hint="eastAsia" w:ascii="仿宋" w:hAnsi="仿宋" w:eastAsia="仿宋" w:cs="Times New Roman"/>
          <w:snapToGrid w:val="0"/>
          <w:color w:val="auto"/>
          <w:kern w:val="0"/>
          <w:szCs w:val="21"/>
          <w:highlight w:val="none"/>
        </w:rPr>
        <w:t>、其他:</w:t>
      </w:r>
      <w:r>
        <w:rPr>
          <w:rFonts w:hint="eastAsia" w:ascii="仿宋" w:hAnsi="仿宋" w:eastAsia="仿宋" w:cs="Times New Roman"/>
          <w:snapToGrid w:val="0"/>
          <w:color w:val="auto"/>
          <w:kern w:val="0"/>
          <w:szCs w:val="21"/>
          <w:highlight w:val="none"/>
          <w:u w:val="single"/>
        </w:rPr>
        <w:t>若材料等原制造厂商承诺的质保期多于2年的从其约定，但原制造厂商承诺的质保期少于2年的，承包人须保证质保期不少于2年</w:t>
      </w:r>
      <w:r>
        <w:rPr>
          <w:rFonts w:hint="eastAsia" w:ascii="仿宋" w:hAnsi="仿宋" w:eastAsia="仿宋" w:cs="Times New Roman"/>
          <w:snapToGrid w:val="0"/>
          <w:color w:val="auto"/>
          <w:kern w:val="0"/>
          <w:szCs w:val="21"/>
          <w:highlight w:val="none"/>
        </w:rPr>
        <w:t>。</w:t>
      </w:r>
    </w:p>
    <w:p w14:paraId="4B7066BC">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质量保修期自工程竣工验收合格之日起计算。</w:t>
      </w:r>
    </w:p>
    <w:p w14:paraId="0B1C4645">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三、缺陷责任期</w:t>
      </w:r>
    </w:p>
    <w:p w14:paraId="12E05F10">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工程缺陷责任期为24个月，缺陷责任期自工程通过竣工验收之日起计算。单位工程先于全部工程进行验收，单位工程缺陷责任期自单位工程验收合格之日起算。</w:t>
      </w:r>
    </w:p>
    <w:p w14:paraId="43A1E6F2">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四、质量保修责任</w:t>
      </w:r>
    </w:p>
    <w:p w14:paraId="73C5A88A">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1.属于保修范围、内容的项目，承包人应当在接到保修通知之日起1天内派人保修。</w:t>
      </w:r>
    </w:p>
    <w:p w14:paraId="0002553E">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2.发生紧急抢修事故的，承包人在接到事故通知后，应当立即到达事故现场抢修。</w:t>
      </w:r>
    </w:p>
    <w:p w14:paraId="196E7DDD">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2237CD54">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4.质量保修完成后，由发包人组织验收。</w:t>
      </w:r>
    </w:p>
    <w:p w14:paraId="18370B92">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5.保修费用由造成质量缺陷的责任方承担。</w:t>
      </w:r>
    </w:p>
    <w:p w14:paraId="57D45EA2">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6.</w:t>
      </w:r>
      <w:r>
        <w:rPr>
          <w:rFonts w:ascii="仿宋" w:hAnsi="仿宋" w:eastAsia="仿宋"/>
          <w:snapToGrid w:val="0"/>
          <w:color w:val="auto"/>
          <w:kern w:val="0"/>
          <w:szCs w:val="21"/>
          <w:highlight w:val="none"/>
        </w:rPr>
        <w:t xml:space="preserve"> </w:t>
      </w:r>
      <w:r>
        <w:rPr>
          <w:rFonts w:hint="eastAsia" w:ascii="仿宋" w:hAnsi="仿宋" w:eastAsia="仿宋"/>
          <w:snapToGrid w:val="0"/>
          <w:color w:val="auto"/>
          <w:kern w:val="0"/>
          <w:szCs w:val="21"/>
          <w:highlight w:val="none"/>
        </w:rPr>
        <w:t>缺陷责任期从工程通过竣工验收之日起计。由于承包人原因导致工程无法按规定期限进行竣（交）工验收的，缺陷责任期从实际通过竣（交）工验收之日起计。</w:t>
      </w:r>
    </w:p>
    <w:p w14:paraId="6DD7A348">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7.缺陷责任期内，由承包人原因造成的缺陷，承包人应负责维修，并承担鉴定及维修费用。承包人维修并承担相应费用后，不免除对工程的一般损失赔偿责任。由他人原因造成的缺陷，发包人负责组织维修，承包人不承担费用。</w:t>
      </w:r>
    </w:p>
    <w:p w14:paraId="0D2EECBA">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五、保修费用</w:t>
      </w:r>
    </w:p>
    <w:p w14:paraId="478886FA">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保修费用由造成质量缺陷的责任方承担。</w:t>
      </w:r>
    </w:p>
    <w:p w14:paraId="455ADED7">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六、各方约定的其他工程质量保修事项： 无 。</w:t>
      </w:r>
    </w:p>
    <w:p w14:paraId="7AEE0186">
      <w:pPr>
        <w:adjustRightInd w:val="0"/>
        <w:snapToGrid w:val="0"/>
        <w:spacing w:line="360" w:lineRule="auto"/>
        <w:ind w:firstLine="480"/>
        <w:rPr>
          <w:rFonts w:ascii="仿宋" w:hAnsi="仿宋" w:eastAsia="仿宋"/>
          <w:snapToGrid w:val="0"/>
          <w:color w:val="auto"/>
          <w:kern w:val="0"/>
          <w:szCs w:val="21"/>
          <w:highlight w:val="none"/>
        </w:rPr>
      </w:pPr>
      <w:r>
        <w:rPr>
          <w:rFonts w:hint="eastAsia" w:ascii="仿宋" w:hAnsi="仿宋" w:eastAsia="仿宋"/>
          <w:snapToGrid w:val="0"/>
          <w:color w:val="auto"/>
          <w:kern w:val="0"/>
          <w:szCs w:val="21"/>
          <w:highlight w:val="none"/>
        </w:rPr>
        <w:t>工程质量保修书由发包人、承包人、代建人在工程竣工验收前共同签署，作为施工合同附件，其有效期限至质保期届满。</w:t>
      </w:r>
    </w:p>
    <w:p w14:paraId="4371D508">
      <w:pPr>
        <w:adjustRightInd w:val="0"/>
        <w:snapToGrid w:val="0"/>
        <w:spacing w:line="360" w:lineRule="auto"/>
        <w:ind w:firstLine="480"/>
        <w:rPr>
          <w:rFonts w:ascii="仿宋" w:hAnsi="仿宋" w:eastAsia="仿宋"/>
          <w:b/>
          <w:snapToGrid w:val="0"/>
          <w:color w:val="auto"/>
          <w:kern w:val="0"/>
          <w:szCs w:val="21"/>
          <w:highlight w:val="none"/>
        </w:rPr>
      </w:pPr>
    </w:p>
    <w:p w14:paraId="4EE256D4">
      <w:pPr>
        <w:adjustRightInd w:val="0"/>
        <w:snapToGrid w:val="0"/>
        <w:spacing w:line="360" w:lineRule="auto"/>
        <w:ind w:firstLine="480"/>
        <w:rPr>
          <w:rFonts w:ascii="仿宋" w:hAnsi="仿宋" w:eastAsia="仿宋"/>
          <w:b/>
          <w:snapToGrid w:val="0"/>
          <w:color w:val="auto"/>
          <w:kern w:val="0"/>
          <w:szCs w:val="21"/>
          <w:highlight w:val="none"/>
        </w:rPr>
      </w:pPr>
    </w:p>
    <w:p w14:paraId="4BBEBA22">
      <w:pPr>
        <w:adjustRightInd w:val="0"/>
        <w:snapToGrid w:val="0"/>
        <w:spacing w:line="360" w:lineRule="auto"/>
        <w:ind w:firstLine="480"/>
        <w:rPr>
          <w:rFonts w:ascii="仿宋" w:hAnsi="仿宋" w:eastAsia="仿宋"/>
          <w:b/>
          <w:snapToGrid w:val="0"/>
          <w:color w:val="auto"/>
          <w:kern w:val="0"/>
          <w:szCs w:val="21"/>
          <w:highlight w:val="none"/>
        </w:rPr>
      </w:pPr>
      <w:r>
        <w:rPr>
          <w:rFonts w:hint="eastAsia" w:ascii="仿宋" w:hAnsi="仿宋" w:eastAsia="仿宋"/>
          <w:b/>
          <w:snapToGrid w:val="0"/>
          <w:color w:val="auto"/>
          <w:kern w:val="0"/>
          <w:szCs w:val="21"/>
          <w:highlight w:val="none"/>
        </w:rPr>
        <w:t>发 包 人（公章）：                 承 包 人（公章）：</w:t>
      </w:r>
    </w:p>
    <w:p w14:paraId="370F6D11">
      <w:pPr>
        <w:adjustRightInd w:val="0"/>
        <w:snapToGrid w:val="0"/>
        <w:spacing w:line="360" w:lineRule="auto"/>
        <w:ind w:firstLine="480"/>
        <w:rPr>
          <w:rFonts w:ascii="仿宋" w:hAnsi="仿宋" w:eastAsia="仿宋"/>
          <w:b/>
          <w:snapToGrid w:val="0"/>
          <w:color w:val="auto"/>
          <w:kern w:val="0"/>
          <w:szCs w:val="21"/>
          <w:highlight w:val="none"/>
        </w:rPr>
      </w:pPr>
      <w:r>
        <w:rPr>
          <w:rFonts w:hint="eastAsia" w:ascii="仿宋" w:hAnsi="仿宋" w:eastAsia="仿宋"/>
          <w:b/>
          <w:snapToGrid w:val="0"/>
          <w:color w:val="auto"/>
          <w:kern w:val="0"/>
          <w:szCs w:val="21"/>
          <w:highlight w:val="none"/>
        </w:rPr>
        <w:t>法定代表人（签字）：               法定代表人（签字）：</w:t>
      </w:r>
    </w:p>
    <w:p w14:paraId="5E6FDAE1">
      <w:pPr>
        <w:adjustRightInd w:val="0"/>
        <w:snapToGrid w:val="0"/>
        <w:spacing w:line="360" w:lineRule="auto"/>
        <w:ind w:firstLine="480"/>
        <w:rPr>
          <w:rFonts w:ascii="仿宋" w:hAnsi="仿宋" w:eastAsia="仿宋"/>
          <w:b/>
          <w:snapToGrid w:val="0"/>
          <w:color w:val="auto"/>
          <w:kern w:val="0"/>
          <w:szCs w:val="21"/>
          <w:highlight w:val="none"/>
        </w:rPr>
      </w:pPr>
      <w:r>
        <w:rPr>
          <w:rFonts w:hint="eastAsia" w:ascii="仿宋" w:hAnsi="仿宋" w:eastAsia="仿宋"/>
          <w:b/>
          <w:snapToGrid w:val="0"/>
          <w:color w:val="auto"/>
          <w:kern w:val="0"/>
          <w:szCs w:val="21"/>
          <w:highlight w:val="none"/>
          <w:u w:val="single"/>
        </w:rPr>
        <w:t xml:space="preserve">     </w:t>
      </w:r>
      <w:r>
        <w:rPr>
          <w:rFonts w:hint="eastAsia" w:ascii="仿宋" w:hAnsi="仿宋" w:eastAsia="仿宋"/>
          <w:b/>
          <w:snapToGrid w:val="0"/>
          <w:color w:val="auto"/>
          <w:kern w:val="0"/>
          <w:szCs w:val="21"/>
          <w:highlight w:val="none"/>
        </w:rPr>
        <w:t>年</w:t>
      </w:r>
      <w:r>
        <w:rPr>
          <w:rFonts w:hint="eastAsia" w:ascii="仿宋" w:hAnsi="仿宋" w:eastAsia="仿宋"/>
          <w:b/>
          <w:snapToGrid w:val="0"/>
          <w:color w:val="auto"/>
          <w:kern w:val="0"/>
          <w:szCs w:val="21"/>
          <w:highlight w:val="none"/>
          <w:u w:val="single"/>
        </w:rPr>
        <w:t xml:space="preserve">   </w:t>
      </w:r>
      <w:r>
        <w:rPr>
          <w:rFonts w:hint="eastAsia" w:ascii="仿宋" w:hAnsi="仿宋" w:eastAsia="仿宋"/>
          <w:b/>
          <w:snapToGrid w:val="0"/>
          <w:color w:val="auto"/>
          <w:kern w:val="0"/>
          <w:szCs w:val="21"/>
          <w:highlight w:val="none"/>
        </w:rPr>
        <w:t>月</w:t>
      </w:r>
      <w:r>
        <w:rPr>
          <w:rFonts w:hint="eastAsia" w:ascii="仿宋" w:hAnsi="仿宋" w:eastAsia="仿宋"/>
          <w:b/>
          <w:snapToGrid w:val="0"/>
          <w:color w:val="auto"/>
          <w:kern w:val="0"/>
          <w:szCs w:val="21"/>
          <w:highlight w:val="none"/>
          <w:u w:val="single"/>
        </w:rPr>
        <w:t xml:space="preserve">   </w:t>
      </w:r>
      <w:r>
        <w:rPr>
          <w:rFonts w:hint="eastAsia" w:ascii="仿宋" w:hAnsi="仿宋" w:eastAsia="仿宋"/>
          <w:b/>
          <w:snapToGrid w:val="0"/>
          <w:color w:val="auto"/>
          <w:kern w:val="0"/>
          <w:szCs w:val="21"/>
          <w:highlight w:val="none"/>
        </w:rPr>
        <w:t xml:space="preserve">日                  </w:t>
      </w:r>
      <w:r>
        <w:rPr>
          <w:rFonts w:hint="eastAsia" w:ascii="仿宋" w:hAnsi="仿宋" w:eastAsia="仿宋"/>
          <w:b/>
          <w:snapToGrid w:val="0"/>
          <w:color w:val="auto"/>
          <w:kern w:val="0"/>
          <w:szCs w:val="21"/>
          <w:highlight w:val="none"/>
          <w:u w:val="single"/>
        </w:rPr>
        <w:t xml:space="preserve">     </w:t>
      </w:r>
      <w:r>
        <w:rPr>
          <w:rFonts w:hint="eastAsia" w:ascii="仿宋" w:hAnsi="仿宋" w:eastAsia="仿宋"/>
          <w:b/>
          <w:snapToGrid w:val="0"/>
          <w:color w:val="auto"/>
          <w:kern w:val="0"/>
          <w:szCs w:val="21"/>
          <w:highlight w:val="none"/>
        </w:rPr>
        <w:t>年</w:t>
      </w:r>
      <w:r>
        <w:rPr>
          <w:rFonts w:hint="eastAsia" w:ascii="仿宋" w:hAnsi="仿宋" w:eastAsia="仿宋"/>
          <w:b/>
          <w:snapToGrid w:val="0"/>
          <w:color w:val="auto"/>
          <w:kern w:val="0"/>
          <w:szCs w:val="21"/>
          <w:highlight w:val="none"/>
          <w:u w:val="single"/>
        </w:rPr>
        <w:t xml:space="preserve">   </w:t>
      </w:r>
      <w:r>
        <w:rPr>
          <w:rFonts w:hint="eastAsia" w:ascii="仿宋" w:hAnsi="仿宋" w:eastAsia="仿宋"/>
          <w:b/>
          <w:snapToGrid w:val="0"/>
          <w:color w:val="auto"/>
          <w:kern w:val="0"/>
          <w:szCs w:val="21"/>
          <w:highlight w:val="none"/>
        </w:rPr>
        <w:t>月</w:t>
      </w:r>
      <w:r>
        <w:rPr>
          <w:rFonts w:hint="eastAsia" w:ascii="仿宋" w:hAnsi="仿宋" w:eastAsia="仿宋"/>
          <w:b/>
          <w:snapToGrid w:val="0"/>
          <w:color w:val="auto"/>
          <w:kern w:val="0"/>
          <w:szCs w:val="21"/>
          <w:highlight w:val="none"/>
          <w:u w:val="single"/>
        </w:rPr>
        <w:t xml:space="preserve">   </w:t>
      </w:r>
      <w:r>
        <w:rPr>
          <w:rFonts w:hint="eastAsia" w:ascii="仿宋" w:hAnsi="仿宋" w:eastAsia="仿宋"/>
          <w:b/>
          <w:snapToGrid w:val="0"/>
          <w:color w:val="auto"/>
          <w:kern w:val="0"/>
          <w:szCs w:val="21"/>
          <w:highlight w:val="none"/>
        </w:rPr>
        <w:t>日</w:t>
      </w:r>
    </w:p>
    <w:p w14:paraId="5A8C0140">
      <w:pPr>
        <w:adjustRightInd w:val="0"/>
        <w:snapToGrid w:val="0"/>
        <w:spacing w:line="360" w:lineRule="auto"/>
        <w:ind w:firstLine="480"/>
        <w:rPr>
          <w:rFonts w:ascii="仿宋" w:hAnsi="仿宋" w:eastAsia="仿宋"/>
          <w:b/>
          <w:snapToGrid w:val="0"/>
          <w:color w:val="auto"/>
          <w:kern w:val="0"/>
          <w:sz w:val="18"/>
          <w:szCs w:val="18"/>
          <w:highlight w:val="none"/>
        </w:rPr>
      </w:pPr>
    </w:p>
    <w:p w14:paraId="56F56890">
      <w:pPr>
        <w:pStyle w:val="4"/>
        <w:ind w:left="2100" w:hanging="1050"/>
        <w:rPr>
          <w:rFonts w:ascii="仿宋" w:hAnsi="仿宋" w:eastAsia="仿宋"/>
          <w:color w:val="auto"/>
          <w:highlight w:val="none"/>
        </w:rPr>
      </w:pPr>
    </w:p>
    <w:p w14:paraId="7041A9EB">
      <w:pPr>
        <w:pStyle w:val="4"/>
        <w:ind w:left="2100" w:hanging="1050"/>
        <w:rPr>
          <w:rFonts w:ascii="仿宋" w:hAnsi="仿宋" w:eastAsia="仿宋"/>
          <w:color w:val="auto"/>
          <w:highlight w:val="none"/>
        </w:rPr>
      </w:pPr>
    </w:p>
    <w:p w14:paraId="33210216">
      <w:pPr>
        <w:pStyle w:val="4"/>
        <w:ind w:left="2100" w:hanging="1050"/>
        <w:rPr>
          <w:rFonts w:ascii="仿宋" w:hAnsi="仿宋" w:eastAsia="仿宋"/>
          <w:color w:val="auto"/>
          <w:highlight w:val="none"/>
        </w:rPr>
      </w:pPr>
    </w:p>
    <w:p w14:paraId="3D43DB36">
      <w:pPr>
        <w:pStyle w:val="4"/>
        <w:ind w:left="2100" w:hanging="1050"/>
        <w:rPr>
          <w:rFonts w:ascii="仿宋" w:hAnsi="仿宋" w:eastAsia="仿宋"/>
          <w:color w:val="auto"/>
          <w:highlight w:val="none"/>
        </w:rPr>
      </w:pPr>
    </w:p>
    <w:p w14:paraId="71F2FC18">
      <w:pPr>
        <w:pStyle w:val="4"/>
        <w:ind w:left="2100" w:hanging="1050"/>
        <w:rPr>
          <w:rFonts w:ascii="仿宋" w:hAnsi="仿宋" w:eastAsia="仿宋"/>
          <w:color w:val="auto"/>
          <w:highlight w:val="none"/>
        </w:rPr>
      </w:pPr>
    </w:p>
    <w:p w14:paraId="27E1D5C2">
      <w:pPr>
        <w:pStyle w:val="4"/>
        <w:ind w:left="2100" w:hanging="1050"/>
        <w:rPr>
          <w:rFonts w:ascii="仿宋" w:hAnsi="仿宋" w:eastAsia="仿宋"/>
          <w:color w:val="auto"/>
          <w:highlight w:val="none"/>
        </w:rPr>
      </w:pPr>
    </w:p>
    <w:p w14:paraId="3B96A476">
      <w:pPr>
        <w:pStyle w:val="4"/>
        <w:ind w:left="2100" w:hanging="1050"/>
        <w:rPr>
          <w:rFonts w:ascii="仿宋" w:hAnsi="仿宋" w:eastAsia="仿宋"/>
          <w:color w:val="auto"/>
          <w:highlight w:val="none"/>
        </w:rPr>
      </w:pPr>
    </w:p>
    <w:p w14:paraId="515EF487">
      <w:pPr>
        <w:rPr>
          <w:rFonts w:ascii="仿宋" w:hAnsi="仿宋" w:eastAsia="仿宋"/>
          <w:color w:val="auto"/>
          <w:highlight w:val="none"/>
        </w:rPr>
      </w:pPr>
    </w:p>
    <w:p w14:paraId="6262D3D8">
      <w:pPr>
        <w:widowControl/>
        <w:jc w:val="left"/>
        <w:rPr>
          <w:rFonts w:ascii="仿宋" w:hAnsi="仿宋" w:eastAsia="仿宋"/>
          <w:color w:val="auto"/>
          <w:highlight w:val="none"/>
        </w:rPr>
      </w:pPr>
      <w:r>
        <w:rPr>
          <w:rFonts w:ascii="仿宋" w:hAnsi="仿宋" w:eastAsia="仿宋"/>
          <w:color w:val="auto"/>
          <w:highlight w:val="none"/>
        </w:rPr>
        <w:br w:type="page"/>
      </w:r>
    </w:p>
    <w:p w14:paraId="0F2F9CCE">
      <w:pPr>
        <w:spacing w:line="340" w:lineRule="exact"/>
        <w:rPr>
          <w:rFonts w:ascii="仿宋" w:hAnsi="仿宋" w:eastAsia="仿宋"/>
          <w:b/>
          <w:color w:val="auto"/>
          <w:sz w:val="24"/>
          <w:highlight w:val="none"/>
        </w:rPr>
      </w:pPr>
      <w:r>
        <w:rPr>
          <w:rFonts w:hint="eastAsia" w:ascii="仿宋" w:hAnsi="仿宋" w:eastAsia="仿宋"/>
          <w:b/>
          <w:color w:val="auto"/>
          <w:sz w:val="24"/>
          <w:highlight w:val="none"/>
        </w:rPr>
        <w:t>附件3</w:t>
      </w:r>
    </w:p>
    <w:p w14:paraId="579600AF">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工程项目廉政合同</w:t>
      </w:r>
    </w:p>
    <w:p w14:paraId="24071E59">
      <w:pPr>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(以下简称乙方)，特签订本廉政承诺书。</w:t>
      </w:r>
    </w:p>
    <w:p w14:paraId="3E2BFB19">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第一条：甲乙双方的权利和义务</w:t>
      </w:r>
    </w:p>
    <w:p w14:paraId="17C38592">
      <w:pPr>
        <w:pStyle w:val="5"/>
        <w:ind w:firstLine="200"/>
        <w:rPr>
          <w:rFonts w:ascii="仿宋" w:hAnsi="仿宋" w:eastAsia="仿宋"/>
          <w:color w:val="auto"/>
          <w:szCs w:val="21"/>
          <w:highlight w:val="none"/>
        </w:rPr>
      </w:pPr>
      <w:r>
        <w:rPr>
          <w:rFonts w:hint="eastAsia" w:ascii="仿宋" w:hAnsi="仿宋" w:eastAsia="仿宋"/>
          <w:color w:val="auto"/>
          <w:szCs w:val="21"/>
          <w:highlight w:val="none"/>
        </w:rPr>
        <w:t>双方同意并声明，在业务活动中：</w:t>
      </w:r>
    </w:p>
    <w:p w14:paraId="07AF7ABD">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(一)严格、自觉的遵守和执行国家关于市场准入、工程建设、和市场活动的有关法律、法规、相关政策以及党和国家关于党风廉政建设的各项规定。严格执行经济合同文件，执行工程建设管理制度。</w:t>
      </w:r>
    </w:p>
    <w:p w14:paraId="041EB9A6">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(二)双方的业务活动坚持公开、公正、诚信的原则(除法律认定的商业秘密和合同文件另有规定之外)，严格、自觉按照合同办事，不得损害国家和甲乙双方的利益。</w:t>
      </w:r>
    </w:p>
    <w:p w14:paraId="010E8FA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D879A15">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(四)倡导相互监督，发现对方在业务活动中有违反廉政规定行为的，有及时提醒对方纠正的权利和义务。发现对方违反承诺条款的，有向其上级有关部门举报并要求告知处理结果的权利。</w:t>
      </w:r>
    </w:p>
    <w:p w14:paraId="32D02741">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(五)不以损害国家、集体或第三人利益为代价获取不正当的利益。</w:t>
      </w:r>
    </w:p>
    <w:p w14:paraId="45503D23">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第二条：甲方的承诺</w:t>
      </w:r>
    </w:p>
    <w:p w14:paraId="0BF7B136">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甲方工作人员在工程建设中应遵守如下规定：</w:t>
      </w:r>
    </w:p>
    <w:p w14:paraId="17B6170F">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(一)不得索要或接受乙方钱物(现金、有价证券、信用卡、礼金、奖金、补贴、物品等)，不得要求乙方报销任何应由甲方或个人支付的费用。</w:t>
      </w:r>
    </w:p>
    <w:p w14:paraId="6B07D674">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(二)不得接受乙方安排的可能影响公务的住宿、宴请娱乐及出国（境）、旅游观光活动；不得接受乙方提供的合同规定外的通讯工具、交通工具和高档办公用品等。</w:t>
      </w:r>
    </w:p>
    <w:p w14:paraId="56E5A773">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(三)不得要求或者接受乙方为其及家庭成员在住房装修、婚丧嫁娶、配偶子女的工作安排及出国、出境、旅游等方面提供方便。</w:t>
      </w:r>
    </w:p>
    <w:p w14:paraId="26516B45">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(四)工作人员及其配偶、子女、亲属不得从事与工程有关的材料设备供应、工程分包、劳务等经济活动。</w:t>
      </w:r>
    </w:p>
    <w:p w14:paraId="15B7CB95">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(五)不得违反规定向乙方推荐分包单位和设备、材料供应商，不得要求乙方购买合同规定外的材料和设备等。</w:t>
      </w:r>
    </w:p>
    <w:p w14:paraId="7005685B">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(六)不得为获取乙方回扣或其他谋取私利而多签或多算工程量、多结工程款；不得从乙方承包的工程中收受回扣，谋取私利。</w:t>
      </w:r>
    </w:p>
    <w:p w14:paraId="678C8868">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(七)不得因乙方拒绝本人的不合理要求，而故意刁难乙方。</w:t>
      </w:r>
    </w:p>
    <w:p w14:paraId="0815E256">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(八)其它有关违反廉政规定的行为。</w:t>
      </w:r>
    </w:p>
    <w:p w14:paraId="209EF156">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第三条：乙方的承诺</w:t>
      </w:r>
    </w:p>
    <w:p w14:paraId="766F2A41">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乙方应与甲方和监理保持正常的业务来往，按照有关法律、法规和工作程序开展业务工作并遵守以下规定：</w:t>
      </w:r>
    </w:p>
    <w:p w14:paraId="2B6B5E8B">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(一)不得以任何理由向甲方、监理单位赠送钱物(现金、有价证券、信用卡、礼金、奖金、补贴、物品等)。</w:t>
      </w:r>
    </w:p>
    <w:p w14:paraId="4A6DBB8F">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(二)不得以任何名义为甲方、监理单位报销应由甲方、监理单位或个人支付的任何费用。</w:t>
      </w:r>
    </w:p>
    <w:p w14:paraId="560ADF53">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(三)不准以任何理由为甲方、监理单位和其它相关单位及其工作人员提供有可能影响执行公务的宴请、健身和娱乐等活动。</w:t>
      </w:r>
    </w:p>
    <w:p w14:paraId="241C6C9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(四)不得为甲方和监理单位的相关人员购置或提供合同规定外的通讯工具、交通工具和高档办公用品等。</w:t>
      </w:r>
    </w:p>
    <w:p w14:paraId="136CB3D5">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(五)不准接受或暗示为甲方、监理单位和其它相关单位及其工作人员装修房屋、婚丧嫁娶、配偶子女的工作安排以及出国（境）、旅游观光活动提供方便。</w:t>
      </w:r>
    </w:p>
    <w:p w14:paraId="1FC07AB6">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(六)不准利用黄、赌、贿等各种手段拉拢腐蚀甲方工作人员。</w:t>
      </w:r>
    </w:p>
    <w:p w14:paraId="1AEE7D3B">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(七)其它有关违反廉政规定的行为。</w:t>
      </w:r>
    </w:p>
    <w:p w14:paraId="2176051C">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第四条：责任追究</w:t>
      </w:r>
    </w:p>
    <w:p w14:paraId="2493303B">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760F17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(二)乙方若违反本承诺规定，甲方有权要求乙方对责任人进行处理。情节严重的，限制乙方不得进入遗址保护区建设市场；在新闻媒体曝光并报乙方上级或行发包人管部门。</w:t>
      </w:r>
    </w:p>
    <w:p w14:paraId="0D19CAF1">
      <w:pPr>
        <w:spacing w:line="360" w:lineRule="auto"/>
        <w:ind w:firstLine="422" w:firstLineChars="200"/>
        <w:rPr>
          <w:rFonts w:ascii="仿宋" w:hAnsi="仿宋" w:eastAsia="仿宋"/>
          <w:color w:val="auto"/>
          <w:szCs w:val="21"/>
          <w:highlight w:val="none"/>
        </w:rPr>
      </w:pPr>
      <w:r>
        <w:rPr>
          <w:rFonts w:hint="eastAsia" w:ascii="仿宋" w:hAnsi="仿宋" w:eastAsia="仿宋"/>
          <w:b/>
          <w:color w:val="auto"/>
          <w:szCs w:val="21"/>
          <w:highlight w:val="none"/>
        </w:rPr>
        <w:t>第五条：</w:t>
      </w:r>
      <w:r>
        <w:rPr>
          <w:rFonts w:hint="eastAsia" w:ascii="仿宋" w:hAnsi="仿宋" w:eastAsia="仿宋"/>
          <w:color w:val="auto"/>
          <w:szCs w:val="21"/>
          <w:highlight w:val="none"/>
        </w:rPr>
        <w:t>本承诺书由双方单位或上级主管单位的纪检、监察部门负责监督执行。</w:t>
      </w:r>
    </w:p>
    <w:p w14:paraId="1AA56F89">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第六条：</w:t>
      </w:r>
      <w:r>
        <w:rPr>
          <w:rFonts w:hint="eastAsia" w:ascii="仿宋" w:hAnsi="仿宋" w:eastAsia="仿宋"/>
          <w:bCs/>
          <w:color w:val="auto"/>
          <w:szCs w:val="21"/>
          <w:highlight w:val="none"/>
        </w:rPr>
        <w:t>本合同作为工程施工合同的组成部分，双方签字盖章后即生效，有效期为双方签署之日起至该工程项目竣工验收合格并办理完毕工程结算时止。</w:t>
      </w:r>
    </w:p>
    <w:p w14:paraId="1179BC7A">
      <w:pPr>
        <w:spacing w:line="360" w:lineRule="auto"/>
        <w:ind w:firstLine="422" w:firstLineChars="200"/>
        <w:rPr>
          <w:rFonts w:ascii="仿宋" w:hAnsi="仿宋" w:eastAsia="仿宋"/>
          <w:bCs/>
          <w:color w:val="auto"/>
          <w:szCs w:val="21"/>
          <w:highlight w:val="none"/>
        </w:rPr>
      </w:pPr>
      <w:r>
        <w:rPr>
          <w:rFonts w:hint="eastAsia" w:ascii="仿宋" w:hAnsi="仿宋" w:eastAsia="仿宋"/>
          <w:b/>
          <w:color w:val="auto"/>
          <w:szCs w:val="21"/>
          <w:highlight w:val="none"/>
        </w:rPr>
        <w:t>第七条：</w:t>
      </w:r>
      <w:r>
        <w:rPr>
          <w:rFonts w:hint="eastAsia" w:ascii="仿宋" w:hAnsi="仿宋" w:eastAsia="仿宋"/>
          <w:bCs/>
          <w:color w:val="auto"/>
          <w:szCs w:val="21"/>
          <w:highlight w:val="none"/>
        </w:rPr>
        <w:t>本合同正本二份，副本二份，甲乙方各执正本一份，甲方上级监察部门执副本一份。</w:t>
      </w:r>
    </w:p>
    <w:p w14:paraId="183D4D2E">
      <w:pPr>
        <w:spacing w:line="360" w:lineRule="auto"/>
        <w:ind w:firstLine="658" w:firstLineChars="312"/>
        <w:rPr>
          <w:rFonts w:ascii="仿宋" w:hAnsi="仿宋" w:eastAsia="仿宋"/>
          <w:b/>
          <w:color w:val="auto"/>
          <w:szCs w:val="21"/>
          <w:highlight w:val="none"/>
        </w:rPr>
      </w:pPr>
      <w:r>
        <w:rPr>
          <w:rFonts w:hint="eastAsia" w:ascii="仿宋" w:hAnsi="仿宋" w:eastAsia="仿宋"/>
          <w:b/>
          <w:color w:val="auto"/>
          <w:szCs w:val="21"/>
          <w:highlight w:val="none"/>
        </w:rPr>
        <w:t>甲方单位：                        乙方单位：</w:t>
      </w:r>
    </w:p>
    <w:p w14:paraId="0096A377">
      <w:pPr>
        <w:spacing w:line="360" w:lineRule="auto"/>
        <w:rPr>
          <w:rFonts w:ascii="仿宋" w:hAnsi="仿宋" w:eastAsia="仿宋"/>
          <w:b/>
          <w:color w:val="auto"/>
          <w:szCs w:val="21"/>
          <w:highlight w:val="none"/>
        </w:rPr>
      </w:pPr>
    </w:p>
    <w:p w14:paraId="0EE158F4">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 xml:space="preserve">  法定代表人(委托代理人)：：          法定代表人(委托代理人)：</w:t>
      </w:r>
    </w:p>
    <w:p w14:paraId="38AC7526">
      <w:pPr>
        <w:spacing w:line="360" w:lineRule="auto"/>
        <w:rPr>
          <w:rFonts w:ascii="仿宋" w:hAnsi="仿宋" w:eastAsia="仿宋"/>
          <w:b/>
          <w:color w:val="auto"/>
          <w:szCs w:val="21"/>
          <w:highlight w:val="none"/>
        </w:rPr>
      </w:pPr>
    </w:p>
    <w:p w14:paraId="6FB0A41B">
      <w:pPr>
        <w:spacing w:line="360" w:lineRule="auto"/>
        <w:ind w:firstLine="738" w:firstLineChars="350"/>
        <w:rPr>
          <w:rFonts w:ascii="仿宋" w:hAnsi="仿宋" w:eastAsia="仿宋"/>
          <w:b/>
          <w:color w:val="auto"/>
          <w:szCs w:val="21"/>
          <w:highlight w:val="none"/>
        </w:rPr>
      </w:pPr>
      <w:r>
        <w:rPr>
          <w:rFonts w:hint="eastAsia" w:ascii="仿宋" w:hAnsi="仿宋" w:eastAsia="仿宋"/>
          <w:b/>
          <w:color w:val="auto"/>
          <w:szCs w:val="21"/>
          <w:highlight w:val="none"/>
        </w:rPr>
        <w:t>监督电话：                        监督电话：</w:t>
      </w:r>
    </w:p>
    <w:p w14:paraId="0592DE37">
      <w:pPr>
        <w:spacing w:line="360" w:lineRule="auto"/>
        <w:rPr>
          <w:rFonts w:ascii="仿宋" w:hAnsi="仿宋" w:eastAsia="仿宋"/>
          <w:b/>
          <w:color w:val="auto"/>
          <w:szCs w:val="21"/>
          <w:highlight w:val="none"/>
        </w:rPr>
      </w:pPr>
    </w:p>
    <w:p w14:paraId="6F4E653C">
      <w:pPr>
        <w:tabs>
          <w:tab w:val="left" w:pos="5000"/>
        </w:tabs>
        <w:spacing w:line="360" w:lineRule="auto"/>
        <w:ind w:firstLine="738" w:firstLineChars="350"/>
        <w:rPr>
          <w:rFonts w:ascii="仿宋" w:hAnsi="仿宋" w:eastAsia="仿宋"/>
          <w:color w:val="auto"/>
          <w:szCs w:val="21"/>
          <w:highlight w:val="none"/>
        </w:rPr>
      </w:pPr>
      <w:r>
        <w:rPr>
          <w:rFonts w:hint="eastAsia" w:ascii="仿宋" w:hAnsi="仿宋" w:eastAsia="仿宋"/>
          <w:b/>
          <w:color w:val="auto"/>
          <w:szCs w:val="21"/>
          <w:highlight w:val="none"/>
        </w:rPr>
        <w:t>年    月    日                    年    月    日</w:t>
      </w:r>
    </w:p>
    <w:p w14:paraId="765F89EA">
      <w:pPr>
        <w:spacing w:line="360" w:lineRule="auto"/>
        <w:rPr>
          <w:rFonts w:ascii="仿宋" w:hAnsi="仿宋" w:eastAsia="仿宋" w:cs="黑体"/>
          <w:b/>
          <w:color w:val="auto"/>
          <w:kern w:val="0"/>
          <w:sz w:val="24"/>
          <w:szCs w:val="20"/>
          <w:highlight w:val="none"/>
        </w:rPr>
      </w:pPr>
      <w:r>
        <w:rPr>
          <w:rFonts w:hint="eastAsia" w:ascii="仿宋" w:hAnsi="仿宋" w:eastAsia="仿宋" w:cs="黑体"/>
          <w:color w:val="auto"/>
          <w:kern w:val="0"/>
          <w:sz w:val="18"/>
          <w:szCs w:val="18"/>
          <w:highlight w:val="none"/>
        </w:rPr>
        <w:br w:type="page"/>
      </w:r>
      <w:r>
        <w:rPr>
          <w:rFonts w:hint="eastAsia" w:ascii="仿宋" w:hAnsi="仿宋" w:eastAsia="仿宋"/>
          <w:b/>
          <w:color w:val="auto"/>
          <w:sz w:val="24"/>
          <w:highlight w:val="none"/>
        </w:rPr>
        <w:t>附件4</w:t>
      </w:r>
    </w:p>
    <w:p w14:paraId="7F297D92">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安全生产协议</w:t>
      </w:r>
    </w:p>
    <w:p w14:paraId="382BBB60">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发包人（甲方）：</w:t>
      </w:r>
    </w:p>
    <w:p w14:paraId="31EF56EB">
      <w:pPr>
        <w:spacing w:line="360" w:lineRule="auto"/>
        <w:ind w:firstLine="422" w:firstLineChars="200"/>
        <w:rPr>
          <w:rFonts w:ascii="仿宋" w:hAnsi="仿宋" w:eastAsia="仿宋"/>
          <w:color w:val="auto"/>
          <w:szCs w:val="21"/>
          <w:highlight w:val="none"/>
        </w:rPr>
      </w:pPr>
      <w:r>
        <w:rPr>
          <w:rFonts w:hint="eastAsia" w:ascii="仿宋" w:hAnsi="仿宋" w:eastAsia="仿宋"/>
          <w:b/>
          <w:color w:val="auto"/>
          <w:szCs w:val="21"/>
          <w:highlight w:val="none"/>
        </w:rPr>
        <w:t xml:space="preserve">承包人（乙方）：  </w:t>
      </w:r>
      <w:r>
        <w:rPr>
          <w:rFonts w:hint="eastAsia" w:ascii="仿宋" w:hAnsi="仿宋" w:eastAsia="仿宋"/>
          <w:color w:val="auto"/>
          <w:szCs w:val="21"/>
          <w:highlight w:val="none"/>
        </w:rPr>
        <w:t xml:space="preserve">           </w:t>
      </w:r>
    </w:p>
    <w:p w14:paraId="02F015D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 xml:space="preserve">为加强建设工程安全生产管理，落实安全生产责任，防止和减少生产安全事故，经甲乙双方在平等、自愿的基础上协商一致，根据《中华人民共和国安全生产法》、《建设工程安全生产管理条例》及相关法律、法规的规定，达成《安全生产协议》如下： </w:t>
      </w:r>
    </w:p>
    <w:p w14:paraId="12C8DFF8">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一、承包工程项目：</w:t>
      </w:r>
    </w:p>
    <w:p w14:paraId="2862F8A5">
      <w:pPr>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rPr>
        <w:t>1、工程项目名称：</w:t>
      </w:r>
      <w:r>
        <w:rPr>
          <w:rFonts w:hint="eastAsia" w:ascii="仿宋" w:hAnsi="仿宋" w:eastAsia="仿宋"/>
          <w:color w:val="auto"/>
          <w:szCs w:val="21"/>
          <w:highlight w:val="none"/>
          <w:u w:val="single"/>
        </w:rPr>
        <w:t>XXX项目</w:t>
      </w:r>
    </w:p>
    <w:p w14:paraId="0020D4E2">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 xml:space="preserve">2、工 程 地 址： </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 xml:space="preserve">  </w:t>
      </w:r>
    </w:p>
    <w:p w14:paraId="2F3DB867">
      <w:pPr>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rPr>
        <w:t>3、承 包 范 围：</w:t>
      </w:r>
      <w:r>
        <w:rPr>
          <w:rFonts w:hint="eastAsia" w:ascii="仿宋" w:hAnsi="仿宋" w:eastAsia="仿宋"/>
          <w:color w:val="auto"/>
          <w:szCs w:val="21"/>
          <w:highlight w:val="none"/>
          <w:u w:val="single"/>
        </w:rPr>
        <w:t>XXX项目</w:t>
      </w:r>
      <w:r>
        <w:rPr>
          <w:rFonts w:hint="eastAsia" w:ascii="仿宋" w:hAnsi="仿宋" w:eastAsia="仿宋" w:cs="仿宋_GB2312"/>
          <w:color w:val="auto"/>
          <w:kern w:val="0"/>
          <w:szCs w:val="21"/>
          <w:highlight w:val="none"/>
          <w:u w:val="single"/>
        </w:rPr>
        <w:t>施工图示内容（具体招标范围和工程量以</w:t>
      </w:r>
      <w:r>
        <w:rPr>
          <w:rFonts w:hint="eastAsia" w:ascii="仿宋" w:hAnsi="仿宋" w:eastAsia="仿宋" w:cs="黑体"/>
          <w:color w:val="auto"/>
          <w:kern w:val="0"/>
          <w:szCs w:val="21"/>
          <w:highlight w:val="none"/>
          <w:u w:val="single"/>
        </w:rPr>
        <w:t>第五章“工程量清单”描述为准）</w:t>
      </w:r>
      <w:r>
        <w:rPr>
          <w:rFonts w:hint="eastAsia" w:ascii="仿宋" w:hAnsi="仿宋" w:eastAsia="仿宋" w:cs="仿宋_GB2312"/>
          <w:color w:val="auto"/>
          <w:kern w:val="0"/>
          <w:szCs w:val="21"/>
          <w:highlight w:val="none"/>
        </w:rPr>
        <w:t>。</w:t>
      </w:r>
    </w:p>
    <w:p w14:paraId="7AB52A09">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4、承 包 方 式：</w:t>
      </w:r>
      <w:r>
        <w:rPr>
          <w:rFonts w:hint="eastAsia" w:ascii="仿宋" w:hAnsi="仿宋" w:eastAsia="仿宋" w:cs="宋体"/>
          <w:color w:val="auto"/>
          <w:kern w:val="0"/>
          <w:szCs w:val="21"/>
          <w:highlight w:val="none"/>
          <w:u w:val="single"/>
        </w:rPr>
        <w:t>包工包料，包质量、包工期、包安全、包文明施工</w:t>
      </w:r>
      <w:r>
        <w:rPr>
          <w:rFonts w:hint="eastAsia" w:ascii="仿宋" w:hAnsi="仿宋" w:eastAsia="仿宋" w:cs="宋体"/>
          <w:color w:val="auto"/>
          <w:kern w:val="0"/>
          <w:szCs w:val="21"/>
          <w:highlight w:val="none"/>
        </w:rPr>
        <w:t>。</w:t>
      </w:r>
      <w:r>
        <w:rPr>
          <w:rFonts w:hint="eastAsia" w:ascii="仿宋" w:hAnsi="仿宋" w:eastAsia="仿宋"/>
          <w:color w:val="auto"/>
          <w:szCs w:val="21"/>
          <w:highlight w:val="none"/>
        </w:rPr>
        <w:t xml:space="preserve">        </w:t>
      </w:r>
    </w:p>
    <w:p w14:paraId="2C3AC8E3">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二、建设工程安全生产管理目标及必须达到安全事故控制指标</w:t>
      </w:r>
    </w:p>
    <w:p w14:paraId="452FDDC3">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遵守《建设工程安全生产管理条例》的规定，实现安全生产管理目标：无重伤、无死亡、无施工坍塌、无高处坠落、无滑坡、无火灾、无用电事故、无重大机械事故等各类安全生产事故。即：</w:t>
      </w:r>
    </w:p>
    <w:p w14:paraId="2396D574">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1、因工死亡率为零；</w:t>
      </w:r>
    </w:p>
    <w:p w14:paraId="506B401D">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2、因工重伤率为零；</w:t>
      </w:r>
    </w:p>
    <w:p w14:paraId="5E7AEDB4">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3、因工轻伤事故频率不高于15%；</w:t>
      </w:r>
    </w:p>
    <w:p w14:paraId="526F9538">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4、不发生2万元以上的机械、设备、交通和火灾事故。</w:t>
      </w:r>
    </w:p>
    <w:p w14:paraId="2962385C">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三、本协议有效期限</w:t>
      </w:r>
    </w:p>
    <w:p w14:paraId="45D608D4">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自承包人入驻施工场地之日起，至工程竣工验收合格交付发包人使用时止（同施工合同期限）。</w:t>
      </w:r>
    </w:p>
    <w:p w14:paraId="36A484BF">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四、甲方的安全生产管理权利</w:t>
      </w:r>
    </w:p>
    <w:p w14:paraId="504A9402">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1、监督检查乙方的各项安全生产工作，对建筑工地现场实施日常检查和定期、不定期的巡查。</w:t>
      </w:r>
    </w:p>
    <w:p w14:paraId="736CDBF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2、在实施检查、巡查过程中，发现建设工程存在安全事故隐患的，有权要求乙方暂时停止施工进行整改，直至消除安全事故隐患。</w:t>
      </w:r>
    </w:p>
    <w:p w14:paraId="3AF2A305">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3、根据本协议约定，甲方享有对乙方违反安全生产约定的经济处罚权。</w:t>
      </w:r>
    </w:p>
    <w:p w14:paraId="1D5CD7A6">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4、查阅与检查、巡查事项有关的文件、资料。并可根据实际情况，对施工现场进行检测、拍照、录音、摄像等。</w:t>
      </w:r>
    </w:p>
    <w:p w14:paraId="07766C8B">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五、甲方的安全生产管理义务</w:t>
      </w:r>
    </w:p>
    <w:p w14:paraId="6C4D1299">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1、甲方不得对乙方提出不符合建设工程安全生产法律、法规和强制性标准的要求。</w:t>
      </w:r>
    </w:p>
    <w:p w14:paraId="5A1D6BDD">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2、甲方不得明示或暗示乙方购买、租赁、使用不符合安全施工要求的安全防护用具、机械设备、施工机具及配件、消防设施和器材。</w:t>
      </w:r>
    </w:p>
    <w:p w14:paraId="24ABE259">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3、对乙方施工现场采取的安全施工技术措施，根据乙方的请求，提供必要的协助。</w:t>
      </w:r>
    </w:p>
    <w:p w14:paraId="66811326">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六、乙方的安全生产责任与义务</w:t>
      </w:r>
    </w:p>
    <w:p w14:paraId="46C89988">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1、乙方应当在其资质等级许可范围内，并具备安全生产许可证的条件下承揽工程。</w:t>
      </w:r>
    </w:p>
    <w:p w14:paraId="07680EAF">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乙方应当严格按照建设工程安全生产的法律、法规、规章及安全生产的标准、规程的有关规定，组织工程施工，并对工程建设施工的安全生产工作全面负责。因乙方安全生产措施不力造成事故的责任和因此而发生的费用由乙方承担。</w:t>
      </w:r>
    </w:p>
    <w:p w14:paraId="24A2D067">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3、建立、健全与落实安全生产责任制度、安全生产教育培训制度、安全生产规章制度和操作规程。</w:t>
      </w:r>
    </w:p>
    <w:p w14:paraId="7CE435C0">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4、设立安全生产管理机构，配备专职安全生产管理人员。</w:t>
      </w:r>
    </w:p>
    <w:p w14:paraId="1CC4FC6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5、根据工程特点组织制定安全施工措施，消除安全事故隐患。强化对基坑开挖、起重吊装、模板工程等危险性较大的工程施工的监控和安全防护措施的落实，严防高空坠落、施工坍塌等安全事故的发生。</w:t>
      </w:r>
    </w:p>
    <w:p w14:paraId="4CD39BFB">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6、随时接受甲方实施的安全检查、巡查、并按照甲方的要求进行整改，消除安全事故隐患，确保安全生产。</w:t>
      </w:r>
    </w:p>
    <w:p w14:paraId="7F4262B6">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7、乙方应当在施工现场入口处、施工起重机械、临时用电设施、脚手架、出入通道口、基坑边沿等危险部位，设置明显的安全警示标志，安全警示标志必须符合国家标准。</w:t>
      </w:r>
    </w:p>
    <w:p w14:paraId="4DAC9029">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8、乙方应根据不同施工阶段和周围环境及季节、气候气象的变化，在施工现场采取相应的安全施工措施。确保雨季等特殊气候气象情况下的施工安全。</w:t>
      </w:r>
    </w:p>
    <w:p w14:paraId="5445490E">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9、对建设工程施工进行定期和专项安全自检，并做好安全检查记录，及时发现并消除安全生产事故隐患。</w:t>
      </w:r>
    </w:p>
    <w:p w14:paraId="203CA4B2">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10、在施工现场建立消防安全责任制度，确定消防安全责任人，制定用火、用电等各项消防安全管理制度和操作规程。</w:t>
      </w:r>
    </w:p>
    <w:p w14:paraId="102759BF">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11、制定实施工程现场生产安全事故应急救援预案，并定期组织演练。</w:t>
      </w:r>
    </w:p>
    <w:p w14:paraId="601C3A89">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12、根据安全生产法律、法规规章，标准、规程的规定，乙方应承担的其它责任与义务。</w:t>
      </w:r>
    </w:p>
    <w:p w14:paraId="2DCBD3AD">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七、现场停工整改约定</w:t>
      </w:r>
    </w:p>
    <w:p w14:paraId="16012884">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1660D158">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2、乙方进行整改后，经甲方检查已消除安全事故隐患的，可以进行复工。</w:t>
      </w:r>
    </w:p>
    <w:p w14:paraId="5321BD2D">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3、若在一个月内由于乙方出现安全事故隐患，被甲方下达停工整改通知累计两次的，则乙方同意甲方暂停支付其当月的工程进度款，该扣款延期至工程竣工验收合格后再行支付。</w:t>
      </w:r>
    </w:p>
    <w:p w14:paraId="31310A83">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八、安全生产保证金的缴纳与补缴约定</w:t>
      </w:r>
    </w:p>
    <w:p w14:paraId="22CE9A5B">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1、本协议采用第①种缴纳方式。</w:t>
      </w:r>
    </w:p>
    <w:p w14:paraId="7B1C87F0">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①乙方承诺，自本协议生效后7个工作日内，向甲方指定的安全生产保证金专用账户，汇付安全生产保证金，安全生产保证金缴纳标准为：合同总价的</w:t>
      </w:r>
      <w:r>
        <w:rPr>
          <w:rFonts w:hint="eastAsia" w:ascii="仿宋" w:hAnsi="仿宋" w:eastAsia="仿宋"/>
          <w:b/>
          <w:color w:val="auto"/>
          <w:szCs w:val="21"/>
          <w:highlight w:val="none"/>
        </w:rPr>
        <w:t>3%</w:t>
      </w:r>
      <w:r>
        <w:rPr>
          <w:rFonts w:hint="eastAsia" w:ascii="仿宋" w:hAnsi="仿宋" w:eastAsia="仿宋"/>
          <w:color w:val="auto"/>
          <w:szCs w:val="21"/>
          <w:highlight w:val="none"/>
        </w:rPr>
        <w:t>，支付金额为：</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w:t>
      </w:r>
    </w:p>
    <w:p w14:paraId="49E131E7">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②安全生产保证金缴纳标准为承包工程费用的 / %，乙方同意，该款项在每月的工程验工计价中扣除，扣除的款项不计利息分 / 次扣完。</w:t>
      </w:r>
    </w:p>
    <w:p w14:paraId="2159BCC2">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2、甲方承诺，乙方汇付至甲方上述专用账户的安全生产保证金，专项存储，专款专用。</w:t>
      </w:r>
    </w:p>
    <w:p w14:paraId="1D0A67D5">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3、甲方按本协议的约定，扣罚乙方一定金额的安全生产保证金后，乙方应在甲方安全生产保证金补缴通知书要求期限内补足安全生产保证金。</w:t>
      </w:r>
    </w:p>
    <w:p w14:paraId="1F6EFF24">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4、乙方如不按期限足额缴纳安全生产保证金或补缴安全生产保证金，甲方有权从应向乙方支付的工程款中予以扣缴，直接汇付至安全生产保证金专用账户。</w:t>
      </w:r>
    </w:p>
    <w:p w14:paraId="0E537215">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九、安全生产奖励约定</w:t>
      </w:r>
    </w:p>
    <w:p w14:paraId="7B6F05E1">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若乙方在本安全生产期间，全面实现建设工程安全生产管理目标，无安全生产事故发生，并且未违反本协议约定，未被甲方发出停工整改通知单与经济处罚的，甲方应当给予乙方安全生产奖励。奖励标准为：</w:t>
      </w:r>
      <w:r>
        <w:rPr>
          <w:rFonts w:hint="eastAsia" w:ascii="仿宋" w:hAnsi="仿宋" w:eastAsia="仿宋"/>
          <w:color w:val="auto"/>
          <w:szCs w:val="21"/>
          <w:highlight w:val="none"/>
          <w:u w:val="single"/>
        </w:rPr>
        <w:t>无</w:t>
      </w:r>
      <w:r>
        <w:rPr>
          <w:rFonts w:hint="eastAsia" w:ascii="仿宋" w:hAnsi="仿宋" w:eastAsia="仿宋"/>
          <w:color w:val="auto"/>
          <w:szCs w:val="21"/>
          <w:highlight w:val="none"/>
        </w:rPr>
        <w:t>。奖励金额为：</w:t>
      </w:r>
      <w:r>
        <w:rPr>
          <w:rFonts w:hint="eastAsia" w:ascii="仿宋" w:hAnsi="仿宋" w:eastAsia="仿宋"/>
          <w:color w:val="auto"/>
          <w:szCs w:val="21"/>
          <w:highlight w:val="none"/>
          <w:u w:val="single"/>
        </w:rPr>
        <w:t>无</w:t>
      </w:r>
      <w:r>
        <w:rPr>
          <w:rFonts w:hint="eastAsia" w:ascii="仿宋" w:hAnsi="仿宋" w:eastAsia="仿宋"/>
          <w:color w:val="auto"/>
          <w:szCs w:val="21"/>
          <w:highlight w:val="none"/>
        </w:rPr>
        <w:t>。甲方在支付奖励金额时，一并将乙方缴纳的安全生产保证金（不计利息）返还给乙方。</w:t>
      </w:r>
    </w:p>
    <w:p w14:paraId="5C1CFFBE">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十、安全生产处罚约定</w:t>
      </w:r>
    </w:p>
    <w:p w14:paraId="3D53393C">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1、若乙方未能实现本协议约定的安全生产管理目标，发生安全生产事故的，乙方同意，甲方将其缴纳的安全生产保证金予以扣罚，扣罚金额不再向乙方返还。具体处罚办法由下款约定。乙方对此不持异议。</w:t>
      </w:r>
    </w:p>
    <w:p w14:paraId="517D63B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甲方在进行安全生产检查与巡查过程中，若乙方违反本协议约定，甲方有权给乙方经济处罚。甲方可根据乙方违约的事实、性质、情节，就安全生产的危害程度对乙方给予一定金额的经济处罚。处罚金额一次性最高不超过乙方缴纳的安全生产保证金额。</w:t>
      </w:r>
    </w:p>
    <w:p w14:paraId="083B2D13">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3、甲方实施经济处罚，应当以书面形式通知乙方。其中：</w:t>
      </w:r>
    </w:p>
    <w:p w14:paraId="7F4146AD">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（1）乙方有下列行为之一的，处罚金额为按本协议约定的缴纳标准缴纳的全部安全生产保证金。</w:t>
      </w:r>
    </w:p>
    <w:p w14:paraId="58B63409">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①发生人员死亡的生产安全事故；</w:t>
      </w:r>
    </w:p>
    <w:p w14:paraId="7CE83082">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②发生人员重伤的生产安全事故。</w:t>
      </w:r>
    </w:p>
    <w:p w14:paraId="0FEC5190">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（2）乙方有下列行为之一的，处罚金额为按本协议约定的缴纳标准缴纳的安全生产保证金15%，即</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元。</w:t>
      </w:r>
    </w:p>
    <w:p w14:paraId="4485C3C4">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①发生人员轻伤的生产安全事故超过三次或一个月内连续发生两次；</w:t>
      </w:r>
    </w:p>
    <w:p w14:paraId="4F599BF5">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②发生2万元以上的机械、设备、交通和火灾生产安全事故一次的。</w:t>
      </w:r>
    </w:p>
    <w:p w14:paraId="207EF1F5">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4、甲方按本协议约定对乙方进行的经济处罚，并不能免除乙方应承担的有关国家机关行政处罚与民事赔偿责任，以及应负的其他法律责任。</w:t>
      </w:r>
    </w:p>
    <w:p w14:paraId="71B9E472">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十一、安全生产保证金返还约定</w:t>
      </w:r>
    </w:p>
    <w:p w14:paraId="56F82E79">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建设工程竣工验收合格移交甲方后，甲方在结清奖励，扣罚金额后，若乙方缴纳的安全生产保证金有剩余，则甲方应将剩余安全生产保证金返还乙方，但不计利息。</w:t>
      </w:r>
    </w:p>
    <w:p w14:paraId="52E6F4A2">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十二、附则</w:t>
      </w:r>
    </w:p>
    <w:p w14:paraId="59FC6F99">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1、本协议所称安全生产保证金是指安全生产风险抵押金。</w:t>
      </w:r>
    </w:p>
    <w:p w14:paraId="6E028114">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2、本协议与双方签订的《</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合同》具有同等法律效力。《</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合同》中没有约定或约定与本协议冲突的，均以本协议约定为准。</w:t>
      </w:r>
    </w:p>
    <w:p w14:paraId="4375E227">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3、本协议自双方签字盖章后生效。</w:t>
      </w:r>
    </w:p>
    <w:p w14:paraId="7A165D58">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4、本协议一式贰份，甲方执壹份，乙方执壹份，具有同等法律效力。</w:t>
      </w:r>
    </w:p>
    <w:p w14:paraId="2C09F504">
      <w:pPr>
        <w:spacing w:line="360" w:lineRule="auto"/>
        <w:ind w:firstLine="420" w:firstLineChars="200"/>
        <w:rPr>
          <w:rFonts w:ascii="仿宋" w:hAnsi="仿宋" w:eastAsia="仿宋"/>
          <w:color w:val="auto"/>
          <w:szCs w:val="21"/>
          <w:highlight w:val="none"/>
        </w:rPr>
      </w:pPr>
    </w:p>
    <w:p w14:paraId="0EC69D2D">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甲方：                                   乙 方：</w:t>
      </w:r>
    </w:p>
    <w:p w14:paraId="5BE5FD87">
      <w:pPr>
        <w:spacing w:line="360" w:lineRule="auto"/>
        <w:ind w:firstLine="422" w:firstLineChars="200"/>
        <w:rPr>
          <w:rFonts w:ascii="仿宋" w:hAnsi="仿宋" w:eastAsia="仿宋"/>
          <w:b/>
          <w:color w:val="auto"/>
          <w:szCs w:val="21"/>
          <w:highlight w:val="none"/>
        </w:rPr>
      </w:pPr>
      <w:r>
        <w:rPr>
          <w:rFonts w:hint="eastAsia" w:ascii="仿宋" w:hAnsi="仿宋" w:eastAsia="仿宋"/>
          <w:b/>
          <w:color w:val="auto"/>
          <w:szCs w:val="21"/>
          <w:highlight w:val="none"/>
        </w:rPr>
        <w:t>法定代表人（或授权代表人）：             法定代表人（或授权代表人）</w:t>
      </w:r>
    </w:p>
    <w:p w14:paraId="5DF683F2">
      <w:pPr>
        <w:spacing w:line="360" w:lineRule="auto"/>
        <w:ind w:firstLine="422" w:firstLineChars="200"/>
        <w:rPr>
          <w:rFonts w:ascii="仿宋" w:hAnsi="仿宋" w:eastAsia="仿宋"/>
          <w:color w:val="auto"/>
          <w:szCs w:val="21"/>
          <w:highlight w:val="none"/>
        </w:rPr>
      </w:pPr>
      <w:r>
        <w:rPr>
          <w:rFonts w:hint="eastAsia" w:ascii="仿宋" w:hAnsi="仿宋" w:eastAsia="仿宋"/>
          <w:b/>
          <w:color w:val="auto"/>
          <w:szCs w:val="21"/>
          <w:highlight w:val="none"/>
        </w:rPr>
        <w:t>签订日期：   年   月   日                签订日期：   年   月   日</w:t>
      </w:r>
    </w:p>
    <w:p w14:paraId="1EAF5E3B">
      <w:pPr>
        <w:autoSpaceDE w:val="0"/>
        <w:autoSpaceDN w:val="0"/>
        <w:spacing w:line="360" w:lineRule="auto"/>
        <w:jc w:val="left"/>
        <w:rPr>
          <w:rFonts w:ascii="仿宋" w:hAnsi="仿宋" w:eastAsia="仿宋" w:cs="黑体"/>
          <w:b/>
          <w:color w:val="auto"/>
          <w:kern w:val="0"/>
          <w:sz w:val="18"/>
          <w:szCs w:val="18"/>
          <w:highlight w:val="none"/>
        </w:rPr>
      </w:pPr>
    </w:p>
    <w:p w14:paraId="4BF58A92">
      <w:pPr>
        <w:spacing w:line="360" w:lineRule="auto"/>
        <w:rPr>
          <w:rFonts w:ascii="仿宋" w:hAnsi="仿宋" w:eastAsia="仿宋" w:cs="黑体"/>
          <w:b/>
          <w:color w:val="auto"/>
          <w:kern w:val="0"/>
          <w:sz w:val="24"/>
          <w:szCs w:val="20"/>
          <w:highlight w:val="none"/>
        </w:rPr>
      </w:pPr>
      <w:r>
        <w:rPr>
          <w:rFonts w:hint="eastAsia" w:ascii="仿宋" w:hAnsi="仿宋" w:eastAsia="仿宋" w:cs="黑体"/>
          <w:b/>
          <w:color w:val="auto"/>
          <w:kern w:val="0"/>
          <w:sz w:val="24"/>
          <w:highlight w:val="none"/>
        </w:rPr>
        <w:br w:type="page"/>
      </w:r>
      <w:r>
        <w:rPr>
          <w:rFonts w:hint="eastAsia" w:ascii="仿宋" w:hAnsi="仿宋" w:eastAsia="仿宋" w:cs="黑体"/>
          <w:b/>
          <w:color w:val="auto"/>
          <w:kern w:val="0"/>
          <w:sz w:val="24"/>
          <w:highlight w:val="none"/>
        </w:rPr>
        <w:t>附件5：</w:t>
      </w:r>
    </w:p>
    <w:p w14:paraId="639E036F">
      <w:pPr>
        <w:spacing w:line="360" w:lineRule="auto"/>
        <w:ind w:firstLine="482" w:firstLineChars="200"/>
        <w:jc w:val="center"/>
        <w:rPr>
          <w:rFonts w:ascii="仿宋" w:hAnsi="仿宋" w:eastAsia="仿宋"/>
          <w:b/>
          <w:color w:val="auto"/>
          <w:sz w:val="24"/>
          <w:highlight w:val="none"/>
        </w:rPr>
      </w:pPr>
      <w:r>
        <w:rPr>
          <w:rFonts w:hint="eastAsia" w:ascii="仿宋" w:hAnsi="仿宋" w:eastAsia="仿宋"/>
          <w:b/>
          <w:color w:val="auto"/>
          <w:sz w:val="24"/>
          <w:highlight w:val="none"/>
        </w:rPr>
        <w:t>承包人杜绝转包、违法分包和拖欠民工工资行为承诺书</w:t>
      </w:r>
    </w:p>
    <w:p w14:paraId="72E0787E">
      <w:pPr>
        <w:spacing w:line="360" w:lineRule="auto"/>
        <w:ind w:firstLine="420" w:firstLineChars="200"/>
        <w:rPr>
          <w:rFonts w:ascii="仿宋" w:hAnsi="仿宋" w:eastAsia="仿宋"/>
          <w:color w:val="auto"/>
          <w:szCs w:val="21"/>
          <w:highlight w:val="none"/>
          <w:u w:val="single"/>
        </w:rPr>
      </w:pPr>
      <w:r>
        <w:rPr>
          <w:rFonts w:hint="eastAsia" w:ascii="仿宋" w:hAnsi="仿宋" w:eastAsia="仿宋"/>
          <w:color w:val="auto"/>
          <w:szCs w:val="21"/>
          <w:highlight w:val="none"/>
        </w:rPr>
        <w:t>致：</w:t>
      </w:r>
      <w:r>
        <w:rPr>
          <w:rFonts w:hint="eastAsia" w:ascii="仿宋" w:hAnsi="仿宋" w:eastAsia="仿宋"/>
          <w:color w:val="auto"/>
          <w:szCs w:val="21"/>
          <w:highlight w:val="none"/>
          <w:u w:val="single"/>
        </w:rPr>
        <w:t xml:space="preserve">                        </w:t>
      </w:r>
    </w:p>
    <w:p w14:paraId="093C374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鉴于</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（承包人全称）（以下简称承包人）拟与</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（发包人全称）（以下简称发包人）签订</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工程的合同协议书，承包人一旦签订合同协议书，承包人将承担合同规定的全部责任和义务。在此</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（承包人）的法人代表</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（姓名 ）以合法地位郑重做出如下承诺：</w:t>
      </w:r>
    </w:p>
    <w:p w14:paraId="6E1B930B">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一、承包人在工程施工过程中，承诺严格遵照国家有关规定，不将工程转包或将主体工程违法分包，或以劳务协作名义将工程违法分包给不具备相应资质的施工队伍或个体承包者；</w:t>
      </w:r>
    </w:p>
    <w:p w14:paraId="60FA72B7">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170CBAA2">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三、承包人承诺出现工程转包、违法分包和拖欠民工工资的情况后，承包人接受发包人对我们所采取的如下任何处理措施：</w:t>
      </w:r>
    </w:p>
    <w:p w14:paraId="04F04FF1">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1. 发包人有权终止承包人在本合同段的承包，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6563FF66">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2、同意发包人从正常支付中扣除相应款项，直接支付所欠工程款和劳务费用，不足部分直接从履约诚信担保中扣除；</w:t>
      </w:r>
    </w:p>
    <w:p w14:paraId="70E80C4D">
      <w:pPr>
        <w:tabs>
          <w:tab w:val="left" w:pos="390"/>
        </w:tabs>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3、同意承担合同段清场而引起的材料、供货、设备租用、民工工资和其他相关损失费用。</w:t>
      </w:r>
    </w:p>
    <w:p w14:paraId="2081CBFA">
      <w:pPr>
        <w:tabs>
          <w:tab w:val="left" w:pos="390"/>
        </w:tabs>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4、承包人还承诺，愿意承担与之相应的连带法律责任和西安市采取的任何规范建设市场管理的行政措施。</w:t>
      </w:r>
    </w:p>
    <w:p w14:paraId="30B27EAA">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本承诺自合同签订之日起生效，在发包人向承包人颁发交工证书之日起失效。</w:t>
      </w:r>
    </w:p>
    <w:p w14:paraId="51C238D3">
      <w:pPr>
        <w:spacing w:line="360" w:lineRule="auto"/>
        <w:ind w:firstLine="200"/>
        <w:jc w:val="right"/>
        <w:rPr>
          <w:rFonts w:ascii="仿宋" w:hAnsi="仿宋" w:eastAsia="仿宋"/>
          <w:b/>
          <w:color w:val="auto"/>
          <w:szCs w:val="21"/>
          <w:highlight w:val="none"/>
        </w:rPr>
      </w:pPr>
      <w:r>
        <w:rPr>
          <w:rFonts w:hint="eastAsia" w:ascii="仿宋" w:hAnsi="仿宋" w:eastAsia="仿宋"/>
          <w:b/>
          <w:color w:val="auto"/>
          <w:szCs w:val="21"/>
          <w:highlight w:val="none"/>
        </w:rPr>
        <w:t>承包人：</w:t>
      </w:r>
      <w:r>
        <w:rPr>
          <w:rFonts w:hint="eastAsia" w:ascii="仿宋" w:hAnsi="仿宋" w:eastAsia="仿宋"/>
          <w:b/>
          <w:color w:val="auto"/>
          <w:szCs w:val="21"/>
          <w:highlight w:val="none"/>
          <w:u w:val="single"/>
        </w:rPr>
        <w:t xml:space="preserve">                          </w:t>
      </w:r>
      <w:r>
        <w:rPr>
          <w:rFonts w:hint="eastAsia" w:ascii="仿宋" w:hAnsi="仿宋" w:eastAsia="仿宋"/>
          <w:b/>
          <w:color w:val="auto"/>
          <w:szCs w:val="21"/>
          <w:highlight w:val="none"/>
        </w:rPr>
        <w:t>（盖单位章）</w:t>
      </w:r>
    </w:p>
    <w:p w14:paraId="1AEDBB8C">
      <w:pPr>
        <w:spacing w:line="360" w:lineRule="auto"/>
        <w:ind w:firstLine="200"/>
        <w:jc w:val="right"/>
        <w:rPr>
          <w:rFonts w:ascii="仿宋" w:hAnsi="仿宋" w:eastAsia="仿宋"/>
          <w:b/>
          <w:color w:val="auto"/>
          <w:szCs w:val="21"/>
          <w:highlight w:val="none"/>
        </w:rPr>
      </w:pPr>
      <w:r>
        <w:rPr>
          <w:rFonts w:hint="eastAsia" w:ascii="仿宋" w:hAnsi="仿宋" w:eastAsia="仿宋"/>
          <w:b/>
          <w:color w:val="auto"/>
          <w:szCs w:val="21"/>
          <w:highlight w:val="none"/>
        </w:rPr>
        <w:t>法定代表人：</w:t>
      </w:r>
      <w:r>
        <w:rPr>
          <w:rFonts w:hint="eastAsia" w:ascii="仿宋" w:hAnsi="仿宋" w:eastAsia="仿宋"/>
          <w:b/>
          <w:color w:val="auto"/>
          <w:szCs w:val="21"/>
          <w:highlight w:val="none"/>
          <w:u w:val="single"/>
        </w:rPr>
        <w:t xml:space="preserve">                          </w:t>
      </w:r>
      <w:r>
        <w:rPr>
          <w:rFonts w:hint="eastAsia" w:ascii="仿宋" w:hAnsi="仿宋" w:eastAsia="仿宋"/>
          <w:b/>
          <w:color w:val="auto"/>
          <w:szCs w:val="21"/>
          <w:highlight w:val="none"/>
        </w:rPr>
        <w:t>（签字）</w:t>
      </w:r>
    </w:p>
    <w:p w14:paraId="7FEE66F8">
      <w:pPr>
        <w:spacing w:line="360" w:lineRule="auto"/>
        <w:ind w:right="120" w:firstLine="422" w:firstLineChars="200"/>
        <w:jc w:val="right"/>
        <w:rPr>
          <w:rFonts w:ascii="仿宋" w:hAnsi="仿宋" w:eastAsia="仿宋"/>
          <w:b/>
          <w:color w:val="auto"/>
          <w:szCs w:val="21"/>
          <w:highlight w:val="none"/>
        </w:rPr>
      </w:pPr>
      <w:r>
        <w:rPr>
          <w:rFonts w:hint="eastAsia" w:ascii="仿宋" w:hAnsi="仿宋" w:eastAsia="仿宋"/>
          <w:b/>
          <w:color w:val="auto"/>
          <w:szCs w:val="21"/>
          <w:highlight w:val="none"/>
          <w:u w:val="single"/>
        </w:rPr>
        <w:t xml:space="preserve">       </w:t>
      </w:r>
      <w:r>
        <w:rPr>
          <w:rFonts w:hint="eastAsia" w:ascii="仿宋" w:hAnsi="仿宋" w:eastAsia="仿宋"/>
          <w:b/>
          <w:color w:val="auto"/>
          <w:szCs w:val="21"/>
          <w:highlight w:val="none"/>
        </w:rPr>
        <w:t>年</w:t>
      </w:r>
      <w:r>
        <w:rPr>
          <w:rFonts w:hint="eastAsia" w:ascii="仿宋" w:hAnsi="仿宋" w:eastAsia="仿宋"/>
          <w:b/>
          <w:color w:val="auto"/>
          <w:szCs w:val="21"/>
          <w:highlight w:val="none"/>
          <w:u w:val="single"/>
        </w:rPr>
        <w:t xml:space="preserve">    </w:t>
      </w:r>
      <w:r>
        <w:rPr>
          <w:rFonts w:hint="eastAsia" w:ascii="仿宋" w:hAnsi="仿宋" w:eastAsia="仿宋"/>
          <w:b/>
          <w:color w:val="auto"/>
          <w:szCs w:val="21"/>
          <w:highlight w:val="none"/>
        </w:rPr>
        <w:t>月</w:t>
      </w:r>
      <w:r>
        <w:rPr>
          <w:rFonts w:hint="eastAsia" w:ascii="仿宋" w:hAnsi="仿宋" w:eastAsia="仿宋"/>
          <w:b/>
          <w:color w:val="auto"/>
          <w:szCs w:val="21"/>
          <w:highlight w:val="none"/>
          <w:u w:val="single"/>
        </w:rPr>
        <w:t xml:space="preserve">   </w:t>
      </w:r>
      <w:r>
        <w:rPr>
          <w:rFonts w:hint="eastAsia" w:ascii="仿宋" w:hAnsi="仿宋" w:eastAsia="仿宋"/>
          <w:b/>
          <w:color w:val="auto"/>
          <w:szCs w:val="21"/>
          <w:highlight w:val="none"/>
        </w:rPr>
        <w:t>日</w:t>
      </w:r>
    </w:p>
    <w:p w14:paraId="28DB11A5">
      <w:pPr>
        <w:autoSpaceDE w:val="0"/>
        <w:autoSpaceDN w:val="0"/>
        <w:spacing w:line="360" w:lineRule="auto"/>
        <w:jc w:val="left"/>
        <w:rPr>
          <w:rFonts w:ascii="仿宋" w:hAnsi="仿宋" w:eastAsia="仿宋"/>
          <w:b/>
          <w:color w:val="auto"/>
          <w:kern w:val="0"/>
          <w:sz w:val="24"/>
          <w:szCs w:val="20"/>
          <w:highlight w:val="none"/>
        </w:rPr>
      </w:pPr>
      <w:r>
        <w:rPr>
          <w:rFonts w:hint="eastAsia" w:ascii="仿宋" w:hAnsi="仿宋" w:eastAsia="仿宋"/>
          <w:b/>
          <w:color w:val="auto"/>
          <w:kern w:val="0"/>
          <w:sz w:val="18"/>
          <w:szCs w:val="18"/>
          <w:highlight w:val="none"/>
        </w:rPr>
        <w:br w:type="page"/>
      </w:r>
      <w:r>
        <w:rPr>
          <w:rFonts w:hint="eastAsia" w:ascii="仿宋" w:hAnsi="仿宋" w:eastAsia="仿宋"/>
          <w:b/>
          <w:color w:val="auto"/>
          <w:kern w:val="0"/>
          <w:sz w:val="24"/>
          <w:highlight w:val="none"/>
        </w:rPr>
        <w:t>附件6：项目经理委任书</w:t>
      </w:r>
    </w:p>
    <w:p w14:paraId="22C3C908">
      <w:pPr>
        <w:overflowPunct w:val="0"/>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项目经理委任书</w:t>
      </w:r>
    </w:p>
    <w:p w14:paraId="1D928BAC">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rPr>
        <w:t>致：</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 xml:space="preserve">    </w:t>
      </w:r>
    </w:p>
    <w:p w14:paraId="79694DD3">
      <w:pPr>
        <w:spacing w:line="360" w:lineRule="auto"/>
        <w:ind w:firstLine="420" w:firstLineChars="200"/>
        <w:rPr>
          <w:rFonts w:ascii="仿宋" w:hAnsi="仿宋" w:eastAsia="仿宋"/>
          <w:color w:val="auto"/>
          <w:szCs w:val="21"/>
          <w:highlight w:val="none"/>
        </w:rPr>
      </w:pPr>
      <w:r>
        <w:rPr>
          <w:rFonts w:hint="eastAsia" w:ascii="仿宋" w:hAnsi="仿宋" w:eastAsia="仿宋"/>
          <w:color w:val="auto"/>
          <w:szCs w:val="21"/>
          <w:highlight w:val="none"/>
          <w:u w:val="single"/>
        </w:rPr>
        <w:t>（承包人全称）</w:t>
      </w:r>
      <w:r>
        <w:rPr>
          <w:rFonts w:hint="eastAsia" w:ascii="仿宋" w:hAnsi="仿宋" w:eastAsia="仿宋"/>
          <w:color w:val="auto"/>
          <w:szCs w:val="21"/>
          <w:highlight w:val="none"/>
        </w:rPr>
        <w:t>法定代表人</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（职务、姓名）代表本单位委任</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（职务、姓名）为</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工程的项目经理。凡本合同执行的有关技术、安全、工程进度、现场管理、质量检验、结算与支付等方面工作，由</w:t>
      </w:r>
      <w:r>
        <w:rPr>
          <w:rFonts w:hint="eastAsia" w:ascii="仿宋" w:hAnsi="仿宋" w:eastAsia="仿宋"/>
          <w:color w:val="auto"/>
          <w:szCs w:val="21"/>
          <w:highlight w:val="none"/>
          <w:u w:val="single"/>
        </w:rPr>
        <w:t xml:space="preserve">            </w:t>
      </w:r>
      <w:r>
        <w:rPr>
          <w:rFonts w:hint="eastAsia" w:ascii="仿宋" w:hAnsi="仿宋" w:eastAsia="仿宋"/>
          <w:color w:val="auto"/>
          <w:szCs w:val="21"/>
          <w:highlight w:val="none"/>
        </w:rPr>
        <w:t>（姓名）代表本单位全面负责。</w:t>
      </w:r>
    </w:p>
    <w:p w14:paraId="7F0E84D4">
      <w:pPr>
        <w:spacing w:line="360" w:lineRule="auto"/>
        <w:rPr>
          <w:rFonts w:ascii="仿宋" w:hAnsi="仿宋" w:eastAsia="仿宋"/>
          <w:color w:val="auto"/>
          <w:sz w:val="18"/>
          <w:szCs w:val="18"/>
          <w:highlight w:val="none"/>
        </w:rPr>
      </w:pPr>
    </w:p>
    <w:p w14:paraId="1C70568B">
      <w:pPr>
        <w:spacing w:line="360" w:lineRule="auto"/>
        <w:rPr>
          <w:rFonts w:ascii="仿宋" w:hAnsi="仿宋" w:eastAsia="仿宋"/>
          <w:color w:val="auto"/>
          <w:sz w:val="18"/>
          <w:szCs w:val="18"/>
          <w:highlight w:val="none"/>
        </w:rPr>
      </w:pPr>
    </w:p>
    <w:p w14:paraId="2B6B18B1">
      <w:pPr>
        <w:spacing w:line="360" w:lineRule="auto"/>
        <w:rPr>
          <w:rFonts w:ascii="仿宋" w:hAnsi="仿宋" w:eastAsia="仿宋"/>
          <w:color w:val="auto"/>
          <w:sz w:val="18"/>
          <w:szCs w:val="18"/>
          <w:highlight w:val="none"/>
        </w:rPr>
      </w:pPr>
    </w:p>
    <w:p w14:paraId="25F96B88">
      <w:pPr>
        <w:spacing w:line="360" w:lineRule="auto"/>
        <w:jc w:val="right"/>
        <w:rPr>
          <w:rFonts w:ascii="仿宋" w:hAnsi="仿宋" w:eastAsia="仿宋"/>
          <w:b/>
          <w:color w:val="auto"/>
          <w:sz w:val="18"/>
          <w:szCs w:val="18"/>
          <w:highlight w:val="none"/>
        </w:rPr>
      </w:pPr>
      <w:r>
        <w:rPr>
          <w:rFonts w:hint="eastAsia" w:ascii="仿宋" w:hAnsi="仿宋" w:eastAsia="仿宋"/>
          <w:color w:val="auto"/>
          <w:sz w:val="18"/>
          <w:szCs w:val="18"/>
          <w:highlight w:val="none"/>
        </w:rPr>
        <w:t xml:space="preserve">                         </w:t>
      </w:r>
      <w:r>
        <w:rPr>
          <w:rFonts w:hint="eastAsia" w:ascii="仿宋" w:hAnsi="仿宋" w:eastAsia="仿宋"/>
          <w:b/>
          <w:color w:val="auto"/>
          <w:sz w:val="18"/>
          <w:szCs w:val="18"/>
          <w:highlight w:val="none"/>
        </w:rPr>
        <w:t xml:space="preserve"> 承包人：</w:t>
      </w:r>
      <w:r>
        <w:rPr>
          <w:rFonts w:hint="eastAsia" w:ascii="仿宋" w:hAnsi="仿宋" w:eastAsia="仿宋"/>
          <w:b/>
          <w:color w:val="auto"/>
          <w:sz w:val="18"/>
          <w:szCs w:val="18"/>
          <w:highlight w:val="none"/>
          <w:u w:val="single"/>
        </w:rPr>
        <w:t xml:space="preserve">                          </w:t>
      </w:r>
      <w:r>
        <w:rPr>
          <w:rFonts w:hint="eastAsia" w:ascii="仿宋" w:hAnsi="仿宋" w:eastAsia="仿宋"/>
          <w:b/>
          <w:color w:val="auto"/>
          <w:sz w:val="18"/>
          <w:szCs w:val="18"/>
          <w:highlight w:val="none"/>
        </w:rPr>
        <w:t>（盖单位章）</w:t>
      </w:r>
    </w:p>
    <w:p w14:paraId="7CCF8845">
      <w:pPr>
        <w:spacing w:line="360" w:lineRule="auto"/>
        <w:ind w:firstLine="4337" w:firstLineChars="2400"/>
        <w:jc w:val="right"/>
        <w:rPr>
          <w:rFonts w:ascii="仿宋" w:hAnsi="仿宋" w:eastAsia="仿宋"/>
          <w:b/>
          <w:color w:val="auto"/>
          <w:sz w:val="18"/>
          <w:szCs w:val="18"/>
          <w:highlight w:val="none"/>
        </w:rPr>
      </w:pPr>
    </w:p>
    <w:p w14:paraId="55A738A8">
      <w:pPr>
        <w:spacing w:line="360" w:lineRule="auto"/>
        <w:jc w:val="right"/>
        <w:rPr>
          <w:rFonts w:ascii="仿宋" w:hAnsi="仿宋" w:eastAsia="仿宋"/>
          <w:b/>
          <w:color w:val="auto"/>
          <w:sz w:val="18"/>
          <w:szCs w:val="18"/>
          <w:highlight w:val="none"/>
        </w:rPr>
      </w:pPr>
      <w:r>
        <w:rPr>
          <w:rFonts w:hint="eastAsia" w:ascii="仿宋" w:hAnsi="仿宋" w:eastAsia="仿宋"/>
          <w:b/>
          <w:color w:val="auto"/>
          <w:sz w:val="18"/>
          <w:szCs w:val="18"/>
          <w:highlight w:val="none"/>
        </w:rPr>
        <w:t>法定代表人：</w:t>
      </w:r>
      <w:r>
        <w:rPr>
          <w:rFonts w:hint="eastAsia" w:ascii="仿宋" w:hAnsi="仿宋" w:eastAsia="仿宋"/>
          <w:b/>
          <w:color w:val="auto"/>
          <w:sz w:val="18"/>
          <w:szCs w:val="18"/>
          <w:highlight w:val="none"/>
          <w:u w:val="single"/>
        </w:rPr>
        <w:t xml:space="preserve">                          </w:t>
      </w:r>
      <w:r>
        <w:rPr>
          <w:rFonts w:hint="eastAsia" w:ascii="仿宋" w:hAnsi="仿宋" w:eastAsia="仿宋"/>
          <w:b/>
          <w:color w:val="auto"/>
          <w:sz w:val="18"/>
          <w:szCs w:val="18"/>
          <w:highlight w:val="none"/>
        </w:rPr>
        <w:t>（签字）</w:t>
      </w:r>
    </w:p>
    <w:p w14:paraId="4DD15BE8">
      <w:pPr>
        <w:spacing w:line="360" w:lineRule="auto"/>
        <w:ind w:firstLine="4156" w:firstLineChars="2300"/>
        <w:rPr>
          <w:rFonts w:ascii="仿宋" w:hAnsi="仿宋" w:eastAsia="仿宋"/>
          <w:b/>
          <w:color w:val="auto"/>
          <w:sz w:val="18"/>
          <w:szCs w:val="18"/>
          <w:highlight w:val="none"/>
          <w:u w:val="single"/>
        </w:rPr>
      </w:pPr>
    </w:p>
    <w:p w14:paraId="72711BF2">
      <w:pPr>
        <w:spacing w:line="360" w:lineRule="auto"/>
        <w:ind w:right="120" w:firstLine="361" w:firstLineChars="200"/>
        <w:jc w:val="right"/>
        <w:rPr>
          <w:rFonts w:ascii="仿宋" w:hAnsi="仿宋" w:eastAsia="仿宋"/>
          <w:b/>
          <w:color w:val="auto"/>
          <w:sz w:val="18"/>
          <w:szCs w:val="18"/>
          <w:highlight w:val="none"/>
        </w:rPr>
      </w:pPr>
      <w:r>
        <w:rPr>
          <w:rFonts w:hint="eastAsia" w:ascii="仿宋" w:hAnsi="仿宋" w:eastAsia="仿宋"/>
          <w:b/>
          <w:color w:val="auto"/>
          <w:sz w:val="18"/>
          <w:szCs w:val="18"/>
          <w:highlight w:val="none"/>
          <w:u w:val="single"/>
        </w:rPr>
        <w:t xml:space="preserve">       </w:t>
      </w:r>
      <w:r>
        <w:rPr>
          <w:rFonts w:hint="eastAsia" w:ascii="仿宋" w:hAnsi="仿宋" w:eastAsia="仿宋"/>
          <w:b/>
          <w:color w:val="auto"/>
          <w:sz w:val="18"/>
          <w:szCs w:val="18"/>
          <w:highlight w:val="none"/>
        </w:rPr>
        <w:t>年</w:t>
      </w:r>
      <w:r>
        <w:rPr>
          <w:rFonts w:hint="eastAsia" w:ascii="仿宋" w:hAnsi="仿宋" w:eastAsia="仿宋"/>
          <w:b/>
          <w:color w:val="auto"/>
          <w:sz w:val="18"/>
          <w:szCs w:val="18"/>
          <w:highlight w:val="none"/>
          <w:u w:val="single"/>
        </w:rPr>
        <w:t xml:space="preserve">    </w:t>
      </w:r>
      <w:r>
        <w:rPr>
          <w:rFonts w:hint="eastAsia" w:ascii="仿宋" w:hAnsi="仿宋" w:eastAsia="仿宋"/>
          <w:b/>
          <w:color w:val="auto"/>
          <w:sz w:val="18"/>
          <w:szCs w:val="18"/>
          <w:highlight w:val="none"/>
        </w:rPr>
        <w:t>月</w:t>
      </w:r>
      <w:r>
        <w:rPr>
          <w:rFonts w:hint="eastAsia" w:ascii="仿宋" w:hAnsi="仿宋" w:eastAsia="仿宋"/>
          <w:b/>
          <w:color w:val="auto"/>
          <w:sz w:val="18"/>
          <w:szCs w:val="18"/>
          <w:highlight w:val="none"/>
          <w:u w:val="single"/>
        </w:rPr>
        <w:t xml:space="preserve">   </w:t>
      </w:r>
      <w:r>
        <w:rPr>
          <w:rFonts w:hint="eastAsia" w:ascii="仿宋" w:hAnsi="仿宋" w:eastAsia="仿宋"/>
          <w:b/>
          <w:color w:val="auto"/>
          <w:sz w:val="18"/>
          <w:szCs w:val="18"/>
          <w:highlight w:val="none"/>
        </w:rPr>
        <w:t>日</w:t>
      </w:r>
    </w:p>
    <w:p w14:paraId="05DB1024">
      <w:pPr>
        <w:spacing w:line="360" w:lineRule="auto"/>
        <w:ind w:right="480"/>
        <w:rPr>
          <w:rFonts w:ascii="仿宋" w:hAnsi="仿宋" w:eastAsia="仿宋"/>
          <w:b/>
          <w:color w:val="auto"/>
          <w:sz w:val="18"/>
          <w:szCs w:val="18"/>
          <w:highlight w:val="none"/>
        </w:rPr>
      </w:pPr>
    </w:p>
    <w:p w14:paraId="40D61FC3">
      <w:pPr>
        <w:adjustRightInd w:val="0"/>
        <w:snapToGrid w:val="0"/>
        <w:spacing w:line="360" w:lineRule="auto"/>
        <w:rPr>
          <w:rFonts w:ascii="仿宋" w:hAnsi="仿宋" w:eastAsia="仿宋"/>
          <w:b/>
          <w:color w:val="auto"/>
          <w:sz w:val="24"/>
          <w:szCs w:val="20"/>
          <w:highlight w:val="none"/>
        </w:rPr>
      </w:pPr>
      <w:r>
        <w:rPr>
          <w:rFonts w:hint="eastAsia" w:ascii="仿宋" w:hAnsi="仿宋" w:eastAsia="仿宋"/>
          <w:color w:val="auto"/>
          <w:sz w:val="18"/>
          <w:szCs w:val="18"/>
          <w:highlight w:val="none"/>
        </w:rPr>
        <w:br w:type="page"/>
      </w:r>
      <w:bookmarkStart w:id="11" w:name="_Toc301514175"/>
      <w:bookmarkStart w:id="12" w:name="_Toc326219646"/>
      <w:r>
        <w:rPr>
          <w:rFonts w:hint="eastAsia" w:ascii="仿宋" w:hAnsi="仿宋" w:eastAsia="仿宋"/>
          <w:b/>
          <w:color w:val="auto"/>
          <w:sz w:val="24"/>
          <w:highlight w:val="none"/>
        </w:rPr>
        <w:t>附件7：建设工程安全防护、文明施工措施项目明细</w:t>
      </w:r>
      <w:bookmarkEnd w:id="11"/>
      <w:bookmarkEnd w:id="12"/>
    </w:p>
    <w:p w14:paraId="452013ED">
      <w:pPr>
        <w:adjustRightInd w:val="0"/>
        <w:snapToGrid w:val="0"/>
        <w:spacing w:line="360" w:lineRule="auto"/>
        <w:jc w:val="center"/>
        <w:rPr>
          <w:rFonts w:ascii="仿宋" w:hAnsi="仿宋" w:eastAsia="仿宋"/>
          <w:b/>
          <w:bCs/>
          <w:color w:val="auto"/>
          <w:sz w:val="24"/>
          <w:highlight w:val="none"/>
        </w:rPr>
      </w:pPr>
      <w:r>
        <w:rPr>
          <w:rFonts w:hint="eastAsia" w:ascii="仿宋" w:hAnsi="仿宋" w:eastAsia="仿宋"/>
          <w:b/>
          <w:bCs/>
          <w:color w:val="auto"/>
          <w:sz w:val="24"/>
          <w:highlight w:val="none"/>
        </w:rPr>
        <w:t>建设工程安全防护、文明施工措施项目明细</w:t>
      </w:r>
    </w:p>
    <w:tbl>
      <w:tblPr>
        <w:tblStyle w:val="8"/>
        <w:tblW w:w="937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540"/>
        <w:gridCol w:w="1553"/>
        <w:gridCol w:w="6056"/>
      </w:tblGrid>
      <w:tr w14:paraId="35C991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tcBorders>
              <w:top w:val="single" w:color="auto" w:sz="12" w:space="0"/>
              <w:left w:val="single" w:color="auto" w:sz="12" w:space="0"/>
              <w:bottom w:val="single" w:color="auto" w:sz="4" w:space="0"/>
              <w:right w:val="single" w:color="auto" w:sz="4" w:space="0"/>
            </w:tcBorders>
            <w:vAlign w:val="center"/>
          </w:tcPr>
          <w:p w14:paraId="621C49AA">
            <w:pPr>
              <w:spacing w:line="300" w:lineRule="exact"/>
              <w:jc w:val="center"/>
              <w:rPr>
                <w:rFonts w:ascii="仿宋" w:hAnsi="仿宋" w:eastAsia="仿宋"/>
                <w:b/>
                <w:bCs/>
                <w:color w:val="auto"/>
                <w:szCs w:val="21"/>
                <w:highlight w:val="none"/>
              </w:rPr>
            </w:pPr>
            <w:r>
              <w:rPr>
                <w:rFonts w:hint="eastAsia" w:ascii="仿宋" w:hAnsi="仿宋" w:eastAsia="仿宋"/>
                <w:b/>
                <w:bCs/>
                <w:color w:val="auto"/>
                <w:szCs w:val="21"/>
                <w:highlight w:val="none"/>
              </w:rPr>
              <w:t>类别</w:t>
            </w:r>
          </w:p>
        </w:tc>
        <w:tc>
          <w:tcPr>
            <w:tcW w:w="2093" w:type="dxa"/>
            <w:gridSpan w:val="2"/>
            <w:tcBorders>
              <w:top w:val="single" w:color="auto" w:sz="12" w:space="0"/>
              <w:left w:val="single" w:color="auto" w:sz="4" w:space="0"/>
              <w:bottom w:val="single" w:color="auto" w:sz="4" w:space="0"/>
              <w:right w:val="single" w:color="auto" w:sz="4" w:space="0"/>
            </w:tcBorders>
            <w:vAlign w:val="center"/>
          </w:tcPr>
          <w:p w14:paraId="7BE9DB28">
            <w:pPr>
              <w:spacing w:line="300" w:lineRule="exact"/>
              <w:jc w:val="center"/>
              <w:rPr>
                <w:rFonts w:ascii="仿宋" w:hAnsi="仿宋" w:eastAsia="仿宋"/>
                <w:b/>
                <w:bCs/>
                <w:color w:val="auto"/>
                <w:szCs w:val="21"/>
                <w:highlight w:val="none"/>
              </w:rPr>
            </w:pPr>
            <w:r>
              <w:rPr>
                <w:rFonts w:hint="eastAsia" w:ascii="仿宋" w:hAnsi="仿宋" w:eastAsia="仿宋"/>
                <w:b/>
                <w:bCs/>
                <w:color w:val="auto"/>
                <w:szCs w:val="21"/>
                <w:highlight w:val="none"/>
              </w:rPr>
              <w:t>项目名称</w:t>
            </w:r>
          </w:p>
        </w:tc>
        <w:tc>
          <w:tcPr>
            <w:tcW w:w="6056" w:type="dxa"/>
            <w:tcBorders>
              <w:top w:val="single" w:color="auto" w:sz="12" w:space="0"/>
              <w:left w:val="single" w:color="auto" w:sz="4" w:space="0"/>
              <w:bottom w:val="single" w:color="auto" w:sz="4" w:space="0"/>
              <w:right w:val="single" w:color="auto" w:sz="12" w:space="0"/>
            </w:tcBorders>
            <w:vAlign w:val="center"/>
          </w:tcPr>
          <w:p w14:paraId="35B94D5B">
            <w:pPr>
              <w:spacing w:line="300" w:lineRule="exact"/>
              <w:jc w:val="center"/>
              <w:rPr>
                <w:rFonts w:ascii="仿宋" w:hAnsi="仿宋" w:eastAsia="仿宋"/>
                <w:b/>
                <w:bCs/>
                <w:color w:val="auto"/>
                <w:szCs w:val="21"/>
                <w:highlight w:val="none"/>
              </w:rPr>
            </w:pPr>
            <w:r>
              <w:rPr>
                <w:rFonts w:hint="eastAsia" w:ascii="仿宋" w:hAnsi="仿宋" w:eastAsia="仿宋"/>
                <w:b/>
                <w:bCs/>
                <w:color w:val="auto"/>
                <w:szCs w:val="21"/>
                <w:highlight w:val="none"/>
              </w:rPr>
              <w:t>具体要求</w:t>
            </w:r>
          </w:p>
        </w:tc>
      </w:tr>
      <w:tr w14:paraId="1C463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restart"/>
            <w:tcBorders>
              <w:top w:val="single" w:color="auto" w:sz="4" w:space="0"/>
              <w:left w:val="single" w:color="auto" w:sz="12" w:space="0"/>
              <w:bottom w:val="single" w:color="auto" w:sz="4" w:space="0"/>
              <w:right w:val="single" w:color="auto" w:sz="4" w:space="0"/>
            </w:tcBorders>
            <w:vAlign w:val="center"/>
          </w:tcPr>
          <w:p w14:paraId="2A5B864B">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文明施工与环境保护</w:t>
            </w: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0CEE8E5E">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安全警示标志牌</w:t>
            </w:r>
          </w:p>
        </w:tc>
        <w:tc>
          <w:tcPr>
            <w:tcW w:w="6056" w:type="dxa"/>
            <w:tcBorders>
              <w:top w:val="single" w:color="auto" w:sz="4" w:space="0"/>
              <w:left w:val="single" w:color="auto" w:sz="4" w:space="0"/>
              <w:bottom w:val="single" w:color="auto" w:sz="4" w:space="0"/>
              <w:right w:val="single" w:color="auto" w:sz="12" w:space="0"/>
            </w:tcBorders>
            <w:vAlign w:val="center"/>
          </w:tcPr>
          <w:p w14:paraId="78C5588D">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在易发伤亡事故（或危险）处设置明显的、符合国家标准要求的安全警示标志牌</w:t>
            </w:r>
          </w:p>
        </w:tc>
      </w:tr>
      <w:tr w14:paraId="73CEF1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43607EE5">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35E318BA">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现场围挡</w:t>
            </w:r>
          </w:p>
        </w:tc>
        <w:tc>
          <w:tcPr>
            <w:tcW w:w="6056" w:type="dxa"/>
            <w:tcBorders>
              <w:top w:val="single" w:color="auto" w:sz="4" w:space="0"/>
              <w:left w:val="single" w:color="auto" w:sz="4" w:space="0"/>
              <w:bottom w:val="single" w:color="auto" w:sz="4" w:space="0"/>
              <w:right w:val="single" w:color="auto" w:sz="12" w:space="0"/>
            </w:tcBorders>
            <w:vAlign w:val="center"/>
          </w:tcPr>
          <w:p w14:paraId="49955840">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（1）现场采用封闭围挡，高度不小于1.8m；</w:t>
            </w:r>
          </w:p>
          <w:p w14:paraId="37E41BB8">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（2）</w:t>
            </w:r>
            <w:r>
              <w:rPr>
                <w:rFonts w:hint="eastAsia" w:ascii="仿宋" w:hAnsi="仿宋" w:eastAsia="仿宋"/>
                <w:color w:val="auto"/>
                <w:spacing w:val="-6"/>
                <w:szCs w:val="21"/>
                <w:highlight w:val="none"/>
              </w:rPr>
              <w:t>围挡材料可采用彩色、定型钢板，砖、砼砌块等墙体。</w:t>
            </w:r>
          </w:p>
        </w:tc>
      </w:tr>
      <w:tr w14:paraId="652F37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7E4DF25F">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129088D2">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五板一图</w:t>
            </w:r>
          </w:p>
        </w:tc>
        <w:tc>
          <w:tcPr>
            <w:tcW w:w="6056" w:type="dxa"/>
            <w:tcBorders>
              <w:top w:val="single" w:color="auto" w:sz="4" w:space="0"/>
              <w:left w:val="single" w:color="auto" w:sz="4" w:space="0"/>
              <w:bottom w:val="single" w:color="auto" w:sz="4" w:space="0"/>
              <w:right w:val="single" w:color="auto" w:sz="12" w:space="0"/>
            </w:tcBorders>
            <w:vAlign w:val="center"/>
          </w:tcPr>
          <w:p w14:paraId="66AC888D">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在进门处悬挂工程概况、管理人员名单及监督电话、安全生产、文明施工、消防保卫五板；施工现场总平面图。</w:t>
            </w:r>
          </w:p>
        </w:tc>
      </w:tr>
      <w:tr w14:paraId="580682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482B4262">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224FF8B8">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企业标志</w:t>
            </w:r>
          </w:p>
        </w:tc>
        <w:tc>
          <w:tcPr>
            <w:tcW w:w="6056" w:type="dxa"/>
            <w:tcBorders>
              <w:top w:val="single" w:color="auto" w:sz="4" w:space="0"/>
              <w:left w:val="single" w:color="auto" w:sz="4" w:space="0"/>
              <w:bottom w:val="single" w:color="auto" w:sz="4" w:space="0"/>
              <w:right w:val="single" w:color="auto" w:sz="12" w:space="0"/>
            </w:tcBorders>
            <w:vAlign w:val="center"/>
          </w:tcPr>
          <w:p w14:paraId="518AEC3E">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现场出入的大门应设有本企业标识或企业标识</w:t>
            </w:r>
          </w:p>
        </w:tc>
      </w:tr>
      <w:tr w14:paraId="4A3915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73815EE5">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6213A0A0">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场容场貌</w:t>
            </w:r>
          </w:p>
        </w:tc>
        <w:tc>
          <w:tcPr>
            <w:tcW w:w="6056" w:type="dxa"/>
            <w:tcBorders>
              <w:top w:val="single" w:color="auto" w:sz="4" w:space="0"/>
              <w:left w:val="single" w:color="auto" w:sz="4" w:space="0"/>
              <w:bottom w:val="single" w:color="auto" w:sz="4" w:space="0"/>
              <w:right w:val="single" w:color="auto" w:sz="12" w:space="0"/>
            </w:tcBorders>
            <w:vAlign w:val="center"/>
          </w:tcPr>
          <w:p w14:paraId="0F39D8B5">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（1）道路畅通；（2）排水沟、排水设施通畅；</w:t>
            </w:r>
          </w:p>
          <w:p w14:paraId="26E21CE0">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（3）工地地面硬化处理；（4）绿化。</w:t>
            </w:r>
          </w:p>
        </w:tc>
      </w:tr>
      <w:tr w14:paraId="5A2A18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30D65D73">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6912CF80">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材料堆放</w:t>
            </w:r>
          </w:p>
        </w:tc>
        <w:tc>
          <w:tcPr>
            <w:tcW w:w="6056" w:type="dxa"/>
            <w:tcBorders>
              <w:top w:val="single" w:color="auto" w:sz="4" w:space="0"/>
              <w:left w:val="single" w:color="auto" w:sz="4" w:space="0"/>
              <w:bottom w:val="single" w:color="auto" w:sz="4" w:space="0"/>
              <w:right w:val="single" w:color="auto" w:sz="12" w:space="0"/>
            </w:tcBorders>
            <w:vAlign w:val="center"/>
          </w:tcPr>
          <w:p w14:paraId="67F2CCBB">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（1）材料、构件、料具等堆放时，悬挂有名称、品种、规格等标牌；（2）水泥和其他易飞扬细颗粒建筑材料应密闭存放或采取覆盖等措施；（3）易燃、易爆和有毒有害物品分类存放。</w:t>
            </w:r>
          </w:p>
        </w:tc>
      </w:tr>
      <w:tr w14:paraId="0C7C05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66499FA5">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589FABED">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现场防火</w:t>
            </w:r>
          </w:p>
        </w:tc>
        <w:tc>
          <w:tcPr>
            <w:tcW w:w="6056" w:type="dxa"/>
            <w:tcBorders>
              <w:top w:val="single" w:color="auto" w:sz="4" w:space="0"/>
              <w:left w:val="single" w:color="auto" w:sz="4" w:space="0"/>
              <w:bottom w:val="single" w:color="auto" w:sz="4" w:space="0"/>
              <w:right w:val="single" w:color="auto" w:sz="12" w:space="0"/>
            </w:tcBorders>
            <w:vAlign w:val="center"/>
          </w:tcPr>
          <w:p w14:paraId="62CF25EE">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消防器材配置合理，符合消防要求。</w:t>
            </w:r>
          </w:p>
        </w:tc>
      </w:tr>
      <w:tr w14:paraId="1FC0D0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43C00506">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24228FCB">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垃圾清运</w:t>
            </w:r>
          </w:p>
        </w:tc>
        <w:tc>
          <w:tcPr>
            <w:tcW w:w="6056" w:type="dxa"/>
            <w:tcBorders>
              <w:top w:val="single" w:color="auto" w:sz="4" w:space="0"/>
              <w:left w:val="single" w:color="auto" w:sz="4" w:space="0"/>
              <w:bottom w:val="single" w:color="auto" w:sz="4" w:space="0"/>
              <w:right w:val="single" w:color="auto" w:sz="12" w:space="0"/>
            </w:tcBorders>
            <w:vAlign w:val="center"/>
          </w:tcPr>
          <w:p w14:paraId="1892CE08">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施工现场应设置密闭式垃圾站，施工垃圾、生活垃圾应分类存放。施工垃圾必须采用相应容器或管道运输。</w:t>
            </w:r>
          </w:p>
        </w:tc>
      </w:tr>
      <w:tr w14:paraId="0FC481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22" w:hRule="atLeast"/>
          <w:jc w:val="center"/>
        </w:trPr>
        <w:tc>
          <w:tcPr>
            <w:tcW w:w="1230" w:type="dxa"/>
            <w:vMerge w:val="restart"/>
            <w:tcBorders>
              <w:top w:val="single" w:color="auto" w:sz="4" w:space="0"/>
              <w:left w:val="single" w:color="auto" w:sz="12" w:space="0"/>
              <w:bottom w:val="single" w:color="auto" w:sz="4" w:space="0"/>
              <w:right w:val="single" w:color="auto" w:sz="4" w:space="0"/>
            </w:tcBorders>
            <w:vAlign w:val="center"/>
          </w:tcPr>
          <w:p w14:paraId="37F9988B">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临时设施</w:t>
            </w: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63C4ECE6">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现场办公</w:t>
            </w:r>
          </w:p>
          <w:p w14:paraId="44595B1B">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生活设施</w:t>
            </w:r>
          </w:p>
        </w:tc>
        <w:tc>
          <w:tcPr>
            <w:tcW w:w="6056" w:type="dxa"/>
            <w:tcBorders>
              <w:top w:val="single" w:color="auto" w:sz="4" w:space="0"/>
              <w:left w:val="single" w:color="auto" w:sz="4" w:space="0"/>
              <w:bottom w:val="single" w:color="auto" w:sz="4" w:space="0"/>
              <w:right w:val="single" w:color="auto" w:sz="12" w:space="0"/>
            </w:tcBorders>
            <w:vAlign w:val="center"/>
          </w:tcPr>
          <w:p w14:paraId="2AEF3FC4">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（1）施工现场办公、生活区与作业区分开设置，保持安全距离。</w:t>
            </w:r>
          </w:p>
          <w:p w14:paraId="1EA6C126">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（2）工地办公室、现场宿舍、食堂、厕所、饮水、休息场所符合卫生和安全要求。</w:t>
            </w:r>
          </w:p>
        </w:tc>
      </w:tr>
      <w:tr w14:paraId="224A49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41B2A16E">
            <w:pPr>
              <w:rPr>
                <w:rFonts w:ascii="仿宋" w:hAnsi="仿宋" w:eastAsia="仿宋"/>
                <w:color w:val="auto"/>
                <w:highlight w:val="none"/>
              </w:rPr>
            </w:pPr>
          </w:p>
        </w:tc>
        <w:tc>
          <w:tcPr>
            <w:tcW w:w="540" w:type="dxa"/>
            <w:vMerge w:val="restart"/>
            <w:tcBorders>
              <w:top w:val="single" w:color="auto" w:sz="4" w:space="0"/>
              <w:left w:val="single" w:color="auto" w:sz="4" w:space="0"/>
              <w:bottom w:val="single" w:color="auto" w:sz="4" w:space="0"/>
              <w:right w:val="single" w:color="auto" w:sz="4" w:space="0"/>
            </w:tcBorders>
            <w:vAlign w:val="center"/>
          </w:tcPr>
          <w:p w14:paraId="03AC3BD1">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施工现场临时用电</w:t>
            </w:r>
          </w:p>
        </w:tc>
        <w:tc>
          <w:tcPr>
            <w:tcW w:w="1552" w:type="dxa"/>
            <w:tcBorders>
              <w:top w:val="single" w:color="auto" w:sz="4" w:space="0"/>
              <w:left w:val="single" w:color="auto" w:sz="4" w:space="0"/>
              <w:bottom w:val="single" w:color="auto" w:sz="4" w:space="0"/>
              <w:right w:val="single" w:color="auto" w:sz="4" w:space="0"/>
            </w:tcBorders>
            <w:vAlign w:val="center"/>
          </w:tcPr>
          <w:p w14:paraId="7F99E284">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配电线路</w:t>
            </w:r>
          </w:p>
        </w:tc>
        <w:tc>
          <w:tcPr>
            <w:tcW w:w="6056" w:type="dxa"/>
            <w:tcBorders>
              <w:top w:val="single" w:color="auto" w:sz="4" w:space="0"/>
              <w:left w:val="single" w:color="auto" w:sz="4" w:space="0"/>
              <w:bottom w:val="single" w:color="auto" w:sz="4" w:space="0"/>
              <w:right w:val="single" w:color="auto" w:sz="12" w:space="0"/>
            </w:tcBorders>
            <w:vAlign w:val="center"/>
          </w:tcPr>
          <w:p w14:paraId="7C28DD68">
            <w:pPr>
              <w:spacing w:line="300" w:lineRule="exact"/>
              <w:rPr>
                <w:rFonts w:ascii="仿宋" w:hAnsi="仿宋" w:eastAsia="仿宋"/>
                <w:color w:val="auto"/>
                <w:spacing w:val="-14"/>
                <w:szCs w:val="21"/>
                <w:highlight w:val="none"/>
              </w:rPr>
            </w:pPr>
            <w:r>
              <w:rPr>
                <w:rFonts w:hint="eastAsia" w:ascii="仿宋" w:hAnsi="仿宋" w:eastAsia="仿宋"/>
                <w:color w:val="auto"/>
                <w:spacing w:val="-14"/>
                <w:szCs w:val="21"/>
                <w:highlight w:val="none"/>
              </w:rPr>
              <w:t>（1）按照TN-S系统要求配备五芯电缆、四芯电缆和三芯电缆。</w:t>
            </w:r>
          </w:p>
          <w:p w14:paraId="3BC3102C">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（2）按要求架设临时用电线路的电杆、横担、瓷夹、瓷瓶等，或电缆埋地的地沟。</w:t>
            </w:r>
          </w:p>
          <w:p w14:paraId="0F81AA2D">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（3）对靠近施工现场的外电线路，设置木质、塑料等绝缘体的防护设施。</w:t>
            </w:r>
          </w:p>
        </w:tc>
      </w:tr>
      <w:tr w14:paraId="4E28B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52729088">
            <w:pPr>
              <w:rPr>
                <w:rFonts w:ascii="仿宋" w:hAnsi="仿宋" w:eastAsia="仿宋"/>
                <w:color w:val="auto"/>
                <w:highlight w:val="none"/>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14:paraId="2548EEFB">
            <w:pPr>
              <w:rPr>
                <w:rFonts w:ascii="仿宋" w:hAnsi="仿宋" w:eastAsia="仿宋"/>
                <w:color w:val="auto"/>
                <w:highlight w:val="none"/>
              </w:rPr>
            </w:pPr>
          </w:p>
        </w:tc>
        <w:tc>
          <w:tcPr>
            <w:tcW w:w="1552" w:type="dxa"/>
            <w:tcBorders>
              <w:top w:val="single" w:color="auto" w:sz="4" w:space="0"/>
              <w:left w:val="single" w:color="auto" w:sz="4" w:space="0"/>
              <w:bottom w:val="single" w:color="auto" w:sz="4" w:space="0"/>
              <w:right w:val="single" w:color="auto" w:sz="4" w:space="0"/>
            </w:tcBorders>
            <w:vAlign w:val="center"/>
          </w:tcPr>
          <w:p w14:paraId="37D8D8E9">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配电箱</w:t>
            </w:r>
          </w:p>
          <w:p w14:paraId="4E0CF7E4">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开关箱</w:t>
            </w:r>
          </w:p>
        </w:tc>
        <w:tc>
          <w:tcPr>
            <w:tcW w:w="6056" w:type="dxa"/>
            <w:tcBorders>
              <w:top w:val="single" w:color="auto" w:sz="4" w:space="0"/>
              <w:left w:val="single" w:color="auto" w:sz="4" w:space="0"/>
              <w:bottom w:val="single" w:color="auto" w:sz="4" w:space="0"/>
              <w:right w:val="single" w:color="auto" w:sz="12" w:space="0"/>
            </w:tcBorders>
            <w:vAlign w:val="center"/>
          </w:tcPr>
          <w:p w14:paraId="22E7F261">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（1）按三级配电要求，配备总配电箱、分配电箱、开关箱三类标准电箱。开关箱应符合一机、一箱、一闸、一漏。三类电箱中的各类电器应是合格品。</w:t>
            </w:r>
          </w:p>
          <w:p w14:paraId="1021D850">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（2）按两级保护的要求，选取符合容量要求和质量合格的总配电箱和开关箱中的漏电保护器。</w:t>
            </w:r>
          </w:p>
        </w:tc>
      </w:tr>
      <w:tr w14:paraId="5F217D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1230" w:type="dxa"/>
            <w:vMerge w:val="continue"/>
            <w:tcBorders>
              <w:top w:val="single" w:color="auto" w:sz="4" w:space="0"/>
              <w:left w:val="single" w:color="auto" w:sz="12" w:space="0"/>
              <w:bottom w:val="single" w:color="auto" w:sz="4" w:space="0"/>
              <w:right w:val="single" w:color="auto" w:sz="4" w:space="0"/>
            </w:tcBorders>
            <w:vAlign w:val="center"/>
          </w:tcPr>
          <w:p w14:paraId="2BEAC772">
            <w:pPr>
              <w:rPr>
                <w:rFonts w:ascii="仿宋" w:hAnsi="仿宋" w:eastAsia="仿宋"/>
                <w:color w:val="auto"/>
                <w:highlight w:val="none"/>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14:paraId="4A68DA7B">
            <w:pPr>
              <w:rPr>
                <w:rFonts w:ascii="仿宋" w:hAnsi="仿宋" w:eastAsia="仿宋"/>
                <w:color w:val="auto"/>
                <w:highlight w:val="none"/>
              </w:rPr>
            </w:pPr>
          </w:p>
        </w:tc>
        <w:tc>
          <w:tcPr>
            <w:tcW w:w="1552" w:type="dxa"/>
            <w:tcBorders>
              <w:top w:val="single" w:color="auto" w:sz="4" w:space="0"/>
              <w:left w:val="single" w:color="auto" w:sz="4" w:space="0"/>
              <w:bottom w:val="single" w:color="auto" w:sz="4" w:space="0"/>
              <w:right w:val="single" w:color="auto" w:sz="4" w:space="0"/>
            </w:tcBorders>
            <w:vAlign w:val="center"/>
          </w:tcPr>
          <w:p w14:paraId="07327E09">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接地保护</w:t>
            </w:r>
          </w:p>
          <w:p w14:paraId="75908751">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装置</w:t>
            </w:r>
          </w:p>
        </w:tc>
        <w:tc>
          <w:tcPr>
            <w:tcW w:w="6056" w:type="dxa"/>
            <w:tcBorders>
              <w:top w:val="single" w:color="auto" w:sz="4" w:space="0"/>
              <w:left w:val="single" w:color="auto" w:sz="4" w:space="0"/>
              <w:bottom w:val="single" w:color="auto" w:sz="4" w:space="0"/>
              <w:right w:val="single" w:color="auto" w:sz="12" w:space="0"/>
            </w:tcBorders>
            <w:vAlign w:val="center"/>
          </w:tcPr>
          <w:p w14:paraId="1C24A0CF">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施工现场保护零线的重复接地应不少于三处。</w:t>
            </w:r>
          </w:p>
        </w:tc>
      </w:tr>
      <w:tr w14:paraId="36CD60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1230" w:type="dxa"/>
            <w:vMerge w:val="restart"/>
            <w:tcBorders>
              <w:top w:val="single" w:color="auto" w:sz="4" w:space="0"/>
              <w:left w:val="single" w:color="auto" w:sz="12" w:space="0"/>
              <w:bottom w:val="single" w:color="auto" w:sz="12" w:space="0"/>
              <w:right w:val="single" w:color="auto" w:sz="4" w:space="0"/>
            </w:tcBorders>
            <w:vAlign w:val="center"/>
          </w:tcPr>
          <w:p w14:paraId="1F1118AC">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安全施工</w:t>
            </w:r>
          </w:p>
        </w:tc>
        <w:tc>
          <w:tcPr>
            <w:tcW w:w="540" w:type="dxa"/>
            <w:vMerge w:val="restart"/>
            <w:tcBorders>
              <w:top w:val="single" w:color="auto" w:sz="4" w:space="0"/>
              <w:left w:val="single" w:color="auto" w:sz="4" w:space="0"/>
              <w:bottom w:val="single" w:color="auto" w:sz="4" w:space="0"/>
              <w:right w:val="single" w:color="auto" w:sz="4" w:space="0"/>
            </w:tcBorders>
            <w:vAlign w:val="center"/>
          </w:tcPr>
          <w:p w14:paraId="3A6DAD47">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临边洞口交叉高处作业</w:t>
            </w:r>
          </w:p>
        </w:tc>
        <w:tc>
          <w:tcPr>
            <w:tcW w:w="1552" w:type="dxa"/>
            <w:tcBorders>
              <w:top w:val="single" w:color="auto" w:sz="4" w:space="0"/>
              <w:left w:val="single" w:color="auto" w:sz="4" w:space="0"/>
              <w:bottom w:val="single" w:color="auto" w:sz="4" w:space="0"/>
              <w:right w:val="single" w:color="auto" w:sz="4" w:space="0"/>
            </w:tcBorders>
            <w:vAlign w:val="center"/>
          </w:tcPr>
          <w:p w14:paraId="7659819C">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楼板、屋面、</w:t>
            </w:r>
          </w:p>
          <w:p w14:paraId="05869449">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阳台等临边</w:t>
            </w:r>
          </w:p>
          <w:p w14:paraId="7DAF026B">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防护</w:t>
            </w:r>
          </w:p>
        </w:tc>
        <w:tc>
          <w:tcPr>
            <w:tcW w:w="6056" w:type="dxa"/>
            <w:tcBorders>
              <w:top w:val="single" w:color="auto" w:sz="4" w:space="0"/>
              <w:left w:val="single" w:color="auto" w:sz="4" w:space="0"/>
              <w:bottom w:val="single" w:color="auto" w:sz="4" w:space="0"/>
              <w:right w:val="single" w:color="auto" w:sz="12" w:space="0"/>
            </w:tcBorders>
            <w:vAlign w:val="center"/>
          </w:tcPr>
          <w:p w14:paraId="46D8A318">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用密目式安全立网全封闭，作业层另加两边防护栏杆和18cm高的踢脚板。</w:t>
            </w:r>
          </w:p>
        </w:tc>
      </w:tr>
      <w:tr w14:paraId="26B72B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4F903058">
            <w:pPr>
              <w:rPr>
                <w:rFonts w:ascii="仿宋" w:hAnsi="仿宋" w:eastAsia="仿宋"/>
                <w:color w:val="auto"/>
                <w:highlight w:val="none"/>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14:paraId="1C8B1BD5">
            <w:pPr>
              <w:rPr>
                <w:rFonts w:ascii="仿宋" w:hAnsi="仿宋" w:eastAsia="仿宋"/>
                <w:color w:val="auto"/>
                <w:highlight w:val="none"/>
              </w:rPr>
            </w:pPr>
          </w:p>
        </w:tc>
        <w:tc>
          <w:tcPr>
            <w:tcW w:w="1552" w:type="dxa"/>
            <w:tcBorders>
              <w:top w:val="single" w:color="auto" w:sz="4" w:space="0"/>
              <w:left w:val="single" w:color="auto" w:sz="4" w:space="0"/>
              <w:bottom w:val="single" w:color="auto" w:sz="4" w:space="0"/>
              <w:right w:val="single" w:color="auto" w:sz="4" w:space="0"/>
            </w:tcBorders>
            <w:vAlign w:val="center"/>
          </w:tcPr>
          <w:p w14:paraId="6F55A76F">
            <w:pPr>
              <w:spacing w:line="300" w:lineRule="exact"/>
              <w:jc w:val="center"/>
              <w:rPr>
                <w:rFonts w:ascii="仿宋" w:hAnsi="仿宋" w:eastAsia="仿宋"/>
                <w:b/>
                <w:bCs/>
                <w:color w:val="auto"/>
                <w:szCs w:val="21"/>
                <w:highlight w:val="none"/>
              </w:rPr>
            </w:pPr>
            <w:r>
              <w:rPr>
                <w:rFonts w:hint="eastAsia" w:ascii="仿宋" w:hAnsi="仿宋" w:eastAsia="仿宋"/>
                <w:color w:val="auto"/>
                <w:szCs w:val="21"/>
                <w:highlight w:val="none"/>
              </w:rPr>
              <w:t>通道口防护</w:t>
            </w:r>
          </w:p>
        </w:tc>
        <w:tc>
          <w:tcPr>
            <w:tcW w:w="6056" w:type="dxa"/>
            <w:tcBorders>
              <w:top w:val="single" w:color="auto" w:sz="4" w:space="0"/>
              <w:left w:val="single" w:color="auto" w:sz="4" w:space="0"/>
              <w:bottom w:val="single" w:color="auto" w:sz="4" w:space="0"/>
              <w:right w:val="single" w:color="auto" w:sz="12" w:space="0"/>
            </w:tcBorders>
            <w:vAlign w:val="center"/>
          </w:tcPr>
          <w:p w14:paraId="4896ECA2">
            <w:pPr>
              <w:spacing w:line="300" w:lineRule="exact"/>
              <w:rPr>
                <w:rFonts w:ascii="仿宋" w:hAnsi="仿宋" w:eastAsia="仿宋"/>
                <w:b/>
                <w:bCs/>
                <w:color w:val="auto"/>
                <w:szCs w:val="21"/>
                <w:highlight w:val="none"/>
              </w:rPr>
            </w:pPr>
            <w:r>
              <w:rPr>
                <w:rFonts w:hint="eastAsia" w:ascii="仿宋" w:hAnsi="仿宋" w:eastAsia="仿宋"/>
                <w:color w:val="auto"/>
                <w:szCs w:val="21"/>
                <w:highlight w:val="none"/>
              </w:rPr>
              <w:t>设防护棚，防护棚应为不小于5cm厚的木板或两道相距50cm的竹笆。两侧应沿栏杆架用密目式安全网封闭。</w:t>
            </w:r>
          </w:p>
        </w:tc>
      </w:tr>
      <w:tr w14:paraId="766BD4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24E6889C">
            <w:pPr>
              <w:rPr>
                <w:rFonts w:ascii="仿宋" w:hAnsi="仿宋" w:eastAsia="仿宋"/>
                <w:color w:val="auto"/>
                <w:highlight w:val="none"/>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14:paraId="15C38AF1">
            <w:pPr>
              <w:rPr>
                <w:rFonts w:ascii="仿宋" w:hAnsi="仿宋" w:eastAsia="仿宋"/>
                <w:color w:val="auto"/>
                <w:highlight w:val="none"/>
              </w:rPr>
            </w:pPr>
          </w:p>
        </w:tc>
        <w:tc>
          <w:tcPr>
            <w:tcW w:w="1552" w:type="dxa"/>
            <w:tcBorders>
              <w:top w:val="single" w:color="auto" w:sz="4" w:space="0"/>
              <w:left w:val="single" w:color="auto" w:sz="4" w:space="0"/>
              <w:bottom w:val="single" w:color="auto" w:sz="4" w:space="0"/>
              <w:right w:val="single" w:color="auto" w:sz="4" w:space="0"/>
            </w:tcBorders>
            <w:vAlign w:val="center"/>
          </w:tcPr>
          <w:p w14:paraId="17D5D2BF">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预留洞口防护</w:t>
            </w:r>
          </w:p>
        </w:tc>
        <w:tc>
          <w:tcPr>
            <w:tcW w:w="6056" w:type="dxa"/>
            <w:tcBorders>
              <w:top w:val="single" w:color="auto" w:sz="4" w:space="0"/>
              <w:left w:val="single" w:color="auto" w:sz="4" w:space="0"/>
              <w:bottom w:val="single" w:color="auto" w:sz="4" w:space="0"/>
              <w:right w:val="single" w:color="auto" w:sz="12" w:space="0"/>
            </w:tcBorders>
            <w:vAlign w:val="center"/>
          </w:tcPr>
          <w:p w14:paraId="3BFAD478">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用木板全封闭；短边超过1.5m长的洞口，除封闭外四周还应设有防护栏杆。</w:t>
            </w:r>
          </w:p>
        </w:tc>
      </w:tr>
      <w:tr w14:paraId="4897D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52EBBD91">
            <w:pPr>
              <w:rPr>
                <w:rFonts w:ascii="仿宋" w:hAnsi="仿宋" w:eastAsia="仿宋"/>
                <w:color w:val="auto"/>
                <w:highlight w:val="none"/>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14:paraId="2F5C4074">
            <w:pPr>
              <w:rPr>
                <w:rFonts w:ascii="仿宋" w:hAnsi="仿宋" w:eastAsia="仿宋"/>
                <w:color w:val="auto"/>
                <w:highlight w:val="none"/>
              </w:rPr>
            </w:pPr>
          </w:p>
        </w:tc>
        <w:tc>
          <w:tcPr>
            <w:tcW w:w="1552" w:type="dxa"/>
            <w:tcBorders>
              <w:top w:val="single" w:color="auto" w:sz="4" w:space="0"/>
              <w:left w:val="single" w:color="auto" w:sz="4" w:space="0"/>
              <w:bottom w:val="single" w:color="auto" w:sz="4" w:space="0"/>
              <w:right w:val="single" w:color="auto" w:sz="4" w:space="0"/>
            </w:tcBorders>
            <w:vAlign w:val="center"/>
          </w:tcPr>
          <w:p w14:paraId="45E4CA4B">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电梯井口防护</w:t>
            </w:r>
          </w:p>
        </w:tc>
        <w:tc>
          <w:tcPr>
            <w:tcW w:w="6056" w:type="dxa"/>
            <w:tcBorders>
              <w:top w:val="single" w:color="auto" w:sz="4" w:space="0"/>
              <w:left w:val="single" w:color="auto" w:sz="4" w:space="0"/>
              <w:bottom w:val="single" w:color="auto" w:sz="4" w:space="0"/>
              <w:right w:val="single" w:color="auto" w:sz="12" w:space="0"/>
            </w:tcBorders>
            <w:vAlign w:val="center"/>
          </w:tcPr>
          <w:p w14:paraId="6DC8BAB6">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设置定型化、工具化、标准化的防护门；在电梯井内每隔两层（不大于10m）设置一道安全平网。</w:t>
            </w:r>
          </w:p>
        </w:tc>
      </w:tr>
      <w:tr w14:paraId="7A2DD5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37EDBCD8">
            <w:pPr>
              <w:rPr>
                <w:rFonts w:ascii="仿宋" w:hAnsi="仿宋" w:eastAsia="仿宋"/>
                <w:color w:val="auto"/>
                <w:highlight w:val="none"/>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14:paraId="38FF89B7">
            <w:pPr>
              <w:rPr>
                <w:rFonts w:ascii="仿宋" w:hAnsi="仿宋" w:eastAsia="仿宋"/>
                <w:color w:val="auto"/>
                <w:highlight w:val="none"/>
              </w:rPr>
            </w:pPr>
          </w:p>
        </w:tc>
        <w:tc>
          <w:tcPr>
            <w:tcW w:w="1552" w:type="dxa"/>
            <w:tcBorders>
              <w:top w:val="single" w:color="auto" w:sz="4" w:space="0"/>
              <w:left w:val="single" w:color="auto" w:sz="4" w:space="0"/>
              <w:bottom w:val="single" w:color="auto" w:sz="4" w:space="0"/>
              <w:right w:val="single" w:color="auto" w:sz="4" w:space="0"/>
            </w:tcBorders>
            <w:vAlign w:val="center"/>
          </w:tcPr>
          <w:p w14:paraId="7E0BE773">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楼梯边防护</w:t>
            </w:r>
          </w:p>
        </w:tc>
        <w:tc>
          <w:tcPr>
            <w:tcW w:w="6056" w:type="dxa"/>
            <w:tcBorders>
              <w:top w:val="single" w:color="auto" w:sz="4" w:space="0"/>
              <w:left w:val="single" w:color="auto" w:sz="4" w:space="0"/>
              <w:bottom w:val="single" w:color="auto" w:sz="4" w:space="0"/>
              <w:right w:val="single" w:color="auto" w:sz="12" w:space="0"/>
            </w:tcBorders>
            <w:vAlign w:val="center"/>
          </w:tcPr>
          <w:p w14:paraId="04B37E8A">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设1.2m高的定型化、工具化、标准化的防护栏杆，18cm高的踢脚板。</w:t>
            </w:r>
          </w:p>
        </w:tc>
      </w:tr>
      <w:tr w14:paraId="025E32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77CF2FCA">
            <w:pPr>
              <w:rPr>
                <w:rFonts w:ascii="仿宋" w:hAnsi="仿宋" w:eastAsia="仿宋"/>
                <w:color w:val="auto"/>
                <w:highlight w:val="none"/>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14:paraId="2CCEAD5C">
            <w:pPr>
              <w:rPr>
                <w:rFonts w:ascii="仿宋" w:hAnsi="仿宋" w:eastAsia="仿宋"/>
                <w:color w:val="auto"/>
                <w:highlight w:val="none"/>
              </w:rPr>
            </w:pPr>
          </w:p>
        </w:tc>
        <w:tc>
          <w:tcPr>
            <w:tcW w:w="1552" w:type="dxa"/>
            <w:tcBorders>
              <w:top w:val="single" w:color="auto" w:sz="4" w:space="0"/>
              <w:left w:val="single" w:color="auto" w:sz="4" w:space="0"/>
              <w:bottom w:val="single" w:color="auto" w:sz="4" w:space="0"/>
              <w:right w:val="single" w:color="auto" w:sz="4" w:space="0"/>
            </w:tcBorders>
            <w:vAlign w:val="center"/>
          </w:tcPr>
          <w:p w14:paraId="5E523A86">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垂直方向交叉作业防护</w:t>
            </w:r>
          </w:p>
        </w:tc>
        <w:tc>
          <w:tcPr>
            <w:tcW w:w="6056" w:type="dxa"/>
            <w:tcBorders>
              <w:top w:val="single" w:color="auto" w:sz="4" w:space="0"/>
              <w:left w:val="single" w:color="auto" w:sz="4" w:space="0"/>
              <w:bottom w:val="single" w:color="auto" w:sz="4" w:space="0"/>
              <w:right w:val="single" w:color="auto" w:sz="12" w:space="0"/>
            </w:tcBorders>
            <w:vAlign w:val="center"/>
          </w:tcPr>
          <w:p w14:paraId="7C13D4C4">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设置防护隔离棚或其他设施。</w:t>
            </w:r>
          </w:p>
        </w:tc>
      </w:tr>
      <w:tr w14:paraId="696076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7041EFC2">
            <w:pPr>
              <w:rPr>
                <w:rFonts w:ascii="仿宋" w:hAnsi="仿宋" w:eastAsia="仿宋"/>
                <w:color w:val="auto"/>
                <w:highlight w:val="none"/>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14:paraId="6F3DCAEB">
            <w:pPr>
              <w:rPr>
                <w:rFonts w:ascii="仿宋" w:hAnsi="仿宋" w:eastAsia="仿宋"/>
                <w:color w:val="auto"/>
                <w:highlight w:val="none"/>
              </w:rPr>
            </w:pPr>
          </w:p>
        </w:tc>
        <w:tc>
          <w:tcPr>
            <w:tcW w:w="1552" w:type="dxa"/>
            <w:tcBorders>
              <w:top w:val="single" w:color="auto" w:sz="4" w:space="0"/>
              <w:left w:val="single" w:color="auto" w:sz="4" w:space="0"/>
              <w:bottom w:val="single" w:color="auto" w:sz="4" w:space="0"/>
              <w:right w:val="single" w:color="auto" w:sz="4" w:space="0"/>
            </w:tcBorders>
            <w:vAlign w:val="center"/>
          </w:tcPr>
          <w:p w14:paraId="31086600">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高空作业防护</w:t>
            </w:r>
          </w:p>
        </w:tc>
        <w:tc>
          <w:tcPr>
            <w:tcW w:w="6056" w:type="dxa"/>
            <w:tcBorders>
              <w:top w:val="single" w:color="auto" w:sz="4" w:space="0"/>
              <w:left w:val="single" w:color="auto" w:sz="4" w:space="0"/>
              <w:bottom w:val="single" w:color="auto" w:sz="4" w:space="0"/>
              <w:right w:val="single" w:color="auto" w:sz="12" w:space="0"/>
            </w:tcBorders>
            <w:vAlign w:val="center"/>
          </w:tcPr>
          <w:p w14:paraId="392E3067">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有悬挂安全带的悬索或其他设施；有操作平台；有上下的梯子或其他形式的通道</w:t>
            </w:r>
          </w:p>
        </w:tc>
      </w:tr>
      <w:tr w14:paraId="11C679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07429E9F">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61DAA6D9">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作业层护栏</w:t>
            </w:r>
          </w:p>
        </w:tc>
        <w:tc>
          <w:tcPr>
            <w:tcW w:w="6056" w:type="dxa"/>
            <w:tcBorders>
              <w:top w:val="single" w:color="auto" w:sz="4" w:space="0"/>
              <w:left w:val="single" w:color="auto" w:sz="4" w:space="0"/>
              <w:bottom w:val="single" w:color="auto" w:sz="4" w:space="0"/>
              <w:right w:val="single" w:color="auto" w:sz="12" w:space="0"/>
            </w:tcBorders>
            <w:vAlign w:val="center"/>
          </w:tcPr>
          <w:p w14:paraId="41B75AAD">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作业层还需在护栏内侧加设一道小孔安全网</w:t>
            </w:r>
          </w:p>
        </w:tc>
      </w:tr>
      <w:tr w14:paraId="2F73E9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4409936B">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6905A71A">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临边防护</w:t>
            </w:r>
          </w:p>
        </w:tc>
        <w:tc>
          <w:tcPr>
            <w:tcW w:w="6056" w:type="dxa"/>
            <w:tcBorders>
              <w:top w:val="single" w:color="auto" w:sz="4" w:space="0"/>
              <w:left w:val="single" w:color="auto" w:sz="4" w:space="0"/>
              <w:bottom w:val="single" w:color="auto" w:sz="4" w:space="0"/>
              <w:right w:val="single" w:color="auto" w:sz="12" w:space="0"/>
            </w:tcBorders>
            <w:vAlign w:val="center"/>
          </w:tcPr>
          <w:p w14:paraId="5676BFC9">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外侧临街道时，除设计护栏、满挂密目网全封闭处理外，内侧还需加挂小孔安全网加强防护</w:t>
            </w:r>
          </w:p>
        </w:tc>
      </w:tr>
      <w:tr w14:paraId="462D1B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6596543B">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0B4F8990">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临边防护</w:t>
            </w:r>
          </w:p>
        </w:tc>
        <w:tc>
          <w:tcPr>
            <w:tcW w:w="6056" w:type="dxa"/>
            <w:tcBorders>
              <w:top w:val="single" w:color="auto" w:sz="4" w:space="0"/>
              <w:left w:val="single" w:color="auto" w:sz="4" w:space="0"/>
              <w:bottom w:val="single" w:color="auto" w:sz="4" w:space="0"/>
              <w:right w:val="single" w:color="auto" w:sz="12" w:space="0"/>
            </w:tcBorders>
            <w:vAlign w:val="center"/>
          </w:tcPr>
          <w:p w14:paraId="5A521B6D">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挂架、爬架、悬挑架除用密目网全封闭处理外，内侧还需满加挂设小孔安全网防护</w:t>
            </w:r>
          </w:p>
        </w:tc>
      </w:tr>
      <w:tr w14:paraId="7ACB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16473F79">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4" w:space="0"/>
              <w:right w:val="single" w:color="auto" w:sz="4" w:space="0"/>
            </w:tcBorders>
            <w:vAlign w:val="center"/>
          </w:tcPr>
          <w:p w14:paraId="6E84069B">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基坑支护</w:t>
            </w:r>
          </w:p>
        </w:tc>
        <w:tc>
          <w:tcPr>
            <w:tcW w:w="6056" w:type="dxa"/>
            <w:tcBorders>
              <w:top w:val="single" w:color="auto" w:sz="4" w:space="0"/>
              <w:left w:val="single" w:color="auto" w:sz="4" w:space="0"/>
              <w:bottom w:val="single" w:color="auto" w:sz="4" w:space="0"/>
              <w:right w:val="single" w:color="auto" w:sz="12" w:space="0"/>
            </w:tcBorders>
            <w:vAlign w:val="center"/>
          </w:tcPr>
          <w:p w14:paraId="41DA38DB">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基坑支护应根据支护结构形式、挖深、地质条件、周围环境、地面载荷等制定边坡支护和临边防护实施方案</w:t>
            </w:r>
          </w:p>
        </w:tc>
      </w:tr>
      <w:tr w14:paraId="4C56AE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30" w:type="dxa"/>
            <w:vMerge w:val="continue"/>
            <w:tcBorders>
              <w:top w:val="single" w:color="auto" w:sz="4" w:space="0"/>
              <w:left w:val="single" w:color="auto" w:sz="12" w:space="0"/>
              <w:bottom w:val="single" w:color="auto" w:sz="12" w:space="0"/>
              <w:right w:val="single" w:color="auto" w:sz="4" w:space="0"/>
            </w:tcBorders>
            <w:vAlign w:val="center"/>
          </w:tcPr>
          <w:p w14:paraId="26F879B8">
            <w:pPr>
              <w:rPr>
                <w:rFonts w:ascii="仿宋" w:hAnsi="仿宋" w:eastAsia="仿宋"/>
                <w:color w:val="auto"/>
                <w:highlight w:val="none"/>
              </w:rPr>
            </w:pPr>
          </w:p>
        </w:tc>
        <w:tc>
          <w:tcPr>
            <w:tcW w:w="2093" w:type="dxa"/>
            <w:gridSpan w:val="2"/>
            <w:tcBorders>
              <w:top w:val="single" w:color="auto" w:sz="4" w:space="0"/>
              <w:left w:val="single" w:color="auto" w:sz="4" w:space="0"/>
              <w:bottom w:val="single" w:color="auto" w:sz="12" w:space="0"/>
              <w:right w:val="single" w:color="auto" w:sz="4" w:space="0"/>
            </w:tcBorders>
            <w:vAlign w:val="center"/>
          </w:tcPr>
          <w:p w14:paraId="69651DAF">
            <w:pPr>
              <w:spacing w:line="300" w:lineRule="exact"/>
              <w:jc w:val="center"/>
              <w:rPr>
                <w:rFonts w:ascii="仿宋" w:hAnsi="仿宋" w:eastAsia="仿宋"/>
                <w:color w:val="auto"/>
                <w:szCs w:val="21"/>
                <w:highlight w:val="none"/>
              </w:rPr>
            </w:pPr>
            <w:r>
              <w:rPr>
                <w:rFonts w:hint="eastAsia" w:ascii="仿宋" w:hAnsi="仿宋" w:eastAsia="仿宋"/>
                <w:color w:val="auto"/>
                <w:szCs w:val="21"/>
                <w:highlight w:val="none"/>
              </w:rPr>
              <w:t>外用电梯</w:t>
            </w:r>
          </w:p>
        </w:tc>
        <w:tc>
          <w:tcPr>
            <w:tcW w:w="6056" w:type="dxa"/>
            <w:tcBorders>
              <w:top w:val="single" w:color="auto" w:sz="4" w:space="0"/>
              <w:left w:val="single" w:color="auto" w:sz="4" w:space="0"/>
              <w:bottom w:val="single" w:color="auto" w:sz="12" w:space="0"/>
              <w:right w:val="single" w:color="auto" w:sz="12" w:space="0"/>
            </w:tcBorders>
            <w:vAlign w:val="center"/>
          </w:tcPr>
          <w:p w14:paraId="6D422F33">
            <w:pPr>
              <w:spacing w:line="300" w:lineRule="exact"/>
              <w:rPr>
                <w:rFonts w:ascii="仿宋" w:hAnsi="仿宋" w:eastAsia="仿宋"/>
                <w:color w:val="auto"/>
                <w:szCs w:val="21"/>
                <w:highlight w:val="none"/>
              </w:rPr>
            </w:pPr>
            <w:r>
              <w:rPr>
                <w:rFonts w:hint="eastAsia" w:ascii="仿宋" w:hAnsi="仿宋" w:eastAsia="仿宋"/>
                <w:color w:val="auto"/>
                <w:szCs w:val="21"/>
                <w:highlight w:val="none"/>
              </w:rPr>
              <w:t>外用电梯提升设备等楼层出入口防护门应采用工具式定型门、楼层呼叫器</w:t>
            </w:r>
          </w:p>
        </w:tc>
      </w:tr>
    </w:tbl>
    <w:p w14:paraId="3F64D889">
      <w:pPr>
        <w:pStyle w:val="7"/>
        <w:spacing w:before="0" w:beforeAutospacing="0" w:after="0" w:afterAutospacing="0" w:line="340" w:lineRule="exact"/>
        <w:ind w:firstLine="480"/>
        <w:jc w:val="both"/>
        <w:rPr>
          <w:rFonts w:ascii="仿宋" w:hAnsi="仿宋" w:eastAsia="仿宋"/>
          <w:color w:val="auto"/>
          <w:highlight w:val="none"/>
        </w:rPr>
      </w:pPr>
    </w:p>
    <w:p w14:paraId="26B865D2">
      <w:pPr>
        <w:rPr>
          <w:rFonts w:ascii="仿宋" w:hAnsi="仿宋" w:eastAsia="仿宋"/>
          <w:color w:val="auto"/>
          <w:highlight w:val="none"/>
        </w:rPr>
      </w:pPr>
    </w:p>
    <w:p w14:paraId="3AAA14CD">
      <w:pPr>
        <w:rPr>
          <w:rFonts w:ascii="仿宋" w:hAnsi="仿宋" w:eastAsia="仿宋"/>
          <w:color w:val="auto"/>
          <w:highlight w:val="none"/>
        </w:rPr>
      </w:pPr>
    </w:p>
    <w:p w14:paraId="6EA36AA7">
      <w:pPr>
        <w:rPr>
          <w:rFonts w:ascii="仿宋" w:hAnsi="仿宋" w:eastAsia="仿宋"/>
          <w:color w:val="auto"/>
          <w:highlight w:val="none"/>
        </w:rPr>
      </w:pPr>
    </w:p>
    <w:p w14:paraId="36F1DD51">
      <w:pPr>
        <w:rPr>
          <w:rFonts w:ascii="仿宋" w:hAnsi="仿宋" w:eastAsia="仿宋"/>
          <w:color w:val="auto"/>
          <w:highlight w:val="none"/>
        </w:rPr>
      </w:pPr>
    </w:p>
    <w:p w14:paraId="3A1464D1">
      <w:pPr>
        <w:rPr>
          <w:rFonts w:ascii="仿宋" w:hAnsi="仿宋" w:eastAsia="仿宋"/>
          <w:color w:val="auto"/>
          <w:highlight w:val="none"/>
        </w:rPr>
      </w:pPr>
    </w:p>
    <w:p w14:paraId="6179BB7F">
      <w:pPr>
        <w:widowControl/>
        <w:adjustRightInd w:val="0"/>
        <w:snapToGrid w:val="0"/>
        <w:spacing w:line="360" w:lineRule="auto"/>
        <w:rPr>
          <w:rFonts w:ascii="仿宋" w:hAnsi="仿宋" w:eastAsia="仿宋" w:cs="宋体"/>
          <w:b/>
          <w:color w:val="auto"/>
          <w:kern w:val="0"/>
          <w:sz w:val="24"/>
          <w:highlight w:val="none"/>
        </w:rPr>
      </w:pPr>
      <w:r>
        <w:rPr>
          <w:rFonts w:hint="eastAsia" w:ascii="仿宋" w:hAnsi="仿宋" w:eastAsia="仿宋" w:cs="宋体"/>
          <w:b/>
          <w:color w:val="auto"/>
          <w:kern w:val="0"/>
          <w:sz w:val="24"/>
          <w:highlight w:val="none"/>
        </w:rPr>
        <w:br w:type="page"/>
      </w:r>
      <w:r>
        <w:rPr>
          <w:rFonts w:hint="eastAsia" w:ascii="仿宋" w:hAnsi="仿宋" w:eastAsia="仿宋" w:cs="宋体"/>
          <w:b/>
          <w:color w:val="auto"/>
          <w:kern w:val="0"/>
          <w:sz w:val="24"/>
          <w:highlight w:val="none"/>
        </w:rPr>
        <w:t>附件8</w:t>
      </w:r>
    </w:p>
    <w:p w14:paraId="60FB1273">
      <w:pPr>
        <w:widowControl/>
        <w:adjustRightInd w:val="0"/>
        <w:snapToGrid w:val="0"/>
        <w:spacing w:line="360" w:lineRule="auto"/>
        <w:jc w:val="center"/>
        <w:rPr>
          <w:rFonts w:ascii="仿宋" w:hAnsi="仿宋" w:eastAsia="仿宋" w:cs="宋体"/>
          <w:b/>
          <w:color w:val="auto"/>
          <w:kern w:val="0"/>
          <w:sz w:val="24"/>
          <w:highlight w:val="none"/>
        </w:rPr>
      </w:pPr>
      <w:r>
        <w:rPr>
          <w:rFonts w:hint="eastAsia" w:ascii="仿宋" w:hAnsi="仿宋" w:eastAsia="仿宋" w:cs="宋体"/>
          <w:b/>
          <w:color w:val="auto"/>
          <w:kern w:val="0"/>
          <w:sz w:val="24"/>
          <w:highlight w:val="none"/>
        </w:rPr>
        <w:t>农民工工资支付保障协议书</w:t>
      </w:r>
    </w:p>
    <w:p w14:paraId="28074B51">
      <w:pPr>
        <w:widowControl/>
        <w:adjustRightInd w:val="0"/>
        <w:snapToGrid w:val="0"/>
        <w:spacing w:line="360" w:lineRule="auto"/>
        <w:jc w:val="center"/>
        <w:rPr>
          <w:rFonts w:ascii="仿宋" w:hAnsi="仿宋" w:eastAsia="仿宋" w:cs="宋体"/>
          <w:b/>
          <w:color w:val="auto"/>
          <w:kern w:val="0"/>
          <w:szCs w:val="21"/>
          <w:highlight w:val="none"/>
        </w:rPr>
      </w:pPr>
    </w:p>
    <w:p w14:paraId="0A54A17B">
      <w:pPr>
        <w:adjustRightInd w:val="0"/>
        <w:snapToGrid w:val="0"/>
        <w:spacing w:line="360" w:lineRule="auto"/>
        <w:ind w:firstLine="422" w:firstLineChars="200"/>
        <w:rPr>
          <w:rFonts w:ascii="仿宋" w:hAnsi="仿宋" w:eastAsia="仿宋"/>
          <w:b/>
          <w:color w:val="auto"/>
          <w:szCs w:val="21"/>
          <w:highlight w:val="none"/>
          <w:u w:val="single"/>
        </w:rPr>
      </w:pPr>
      <w:r>
        <w:rPr>
          <w:rFonts w:hint="eastAsia" w:ascii="仿宋" w:hAnsi="仿宋" w:eastAsia="仿宋" w:cs="宋体"/>
          <w:b/>
          <w:color w:val="auto"/>
          <w:szCs w:val="21"/>
          <w:highlight w:val="none"/>
        </w:rPr>
        <w:t>发包人</w:t>
      </w:r>
      <w:r>
        <w:rPr>
          <w:rFonts w:hint="eastAsia" w:ascii="仿宋" w:hAnsi="仿宋" w:eastAsia="仿宋"/>
          <w:color w:val="auto"/>
          <w:szCs w:val="21"/>
          <w:highlight w:val="none"/>
        </w:rPr>
        <w:t>(以下简称甲方)</w:t>
      </w:r>
      <w:r>
        <w:rPr>
          <w:rFonts w:hint="eastAsia" w:ascii="仿宋" w:hAnsi="仿宋" w:eastAsia="仿宋" w:cs="宋体"/>
          <w:b/>
          <w:color w:val="auto"/>
          <w:szCs w:val="21"/>
          <w:highlight w:val="none"/>
        </w:rPr>
        <w:t>：</w:t>
      </w:r>
      <w:r>
        <w:rPr>
          <w:rFonts w:hint="eastAsia" w:ascii="仿宋" w:hAnsi="仿宋" w:eastAsia="仿宋" w:cs="宋体"/>
          <w:b/>
          <w:color w:val="auto"/>
          <w:szCs w:val="21"/>
          <w:highlight w:val="none"/>
          <w:u w:val="single"/>
        </w:rPr>
        <w:t xml:space="preserve">                               </w:t>
      </w:r>
      <w:r>
        <w:rPr>
          <w:rFonts w:hint="eastAsia" w:ascii="仿宋" w:hAnsi="仿宋" w:eastAsia="仿宋" w:cs="宋体"/>
          <w:b/>
          <w:color w:val="auto"/>
          <w:szCs w:val="21"/>
          <w:highlight w:val="none"/>
        </w:rPr>
        <w:t xml:space="preserve">                          </w:t>
      </w:r>
    </w:p>
    <w:p w14:paraId="0B4C97CD">
      <w:pPr>
        <w:widowControl/>
        <w:adjustRightInd w:val="0"/>
        <w:snapToGrid w:val="0"/>
        <w:spacing w:line="360" w:lineRule="auto"/>
        <w:ind w:firstLine="413" w:firstLineChars="196"/>
        <w:jc w:val="left"/>
        <w:rPr>
          <w:rFonts w:ascii="仿宋" w:hAnsi="仿宋" w:eastAsia="仿宋"/>
          <w:b/>
          <w:color w:val="auto"/>
          <w:szCs w:val="21"/>
          <w:highlight w:val="none"/>
          <w:u w:val="single"/>
        </w:rPr>
      </w:pPr>
      <w:r>
        <w:rPr>
          <w:rFonts w:hint="eastAsia" w:ascii="仿宋" w:hAnsi="仿宋" w:eastAsia="仿宋" w:cs="宋体"/>
          <w:b/>
          <w:color w:val="auto"/>
          <w:szCs w:val="21"/>
          <w:highlight w:val="none"/>
        </w:rPr>
        <w:t>承包人</w:t>
      </w:r>
      <w:r>
        <w:rPr>
          <w:rFonts w:hint="eastAsia" w:ascii="仿宋" w:hAnsi="仿宋" w:eastAsia="仿宋"/>
          <w:color w:val="auto"/>
          <w:szCs w:val="21"/>
          <w:highlight w:val="none"/>
        </w:rPr>
        <w:t>(以下简称乙方)</w:t>
      </w:r>
      <w:r>
        <w:rPr>
          <w:rFonts w:hint="eastAsia" w:ascii="仿宋" w:hAnsi="仿宋" w:eastAsia="仿宋" w:cs="宋体"/>
          <w:b/>
          <w:color w:val="auto"/>
          <w:szCs w:val="21"/>
          <w:highlight w:val="none"/>
        </w:rPr>
        <w:t>：</w:t>
      </w:r>
      <w:r>
        <w:rPr>
          <w:rFonts w:hint="eastAsia" w:ascii="仿宋" w:hAnsi="仿宋" w:eastAsia="仿宋"/>
          <w:b/>
          <w:color w:val="auto"/>
          <w:szCs w:val="21"/>
          <w:highlight w:val="none"/>
          <w:u w:val="single"/>
        </w:rPr>
        <w:t xml:space="preserve">                              </w:t>
      </w:r>
    </w:p>
    <w:p w14:paraId="2A7A66DE">
      <w:pPr>
        <w:widowControl/>
        <w:adjustRightInd w:val="0"/>
        <w:snapToGrid w:val="0"/>
        <w:spacing w:line="360" w:lineRule="auto"/>
        <w:ind w:firstLine="411" w:firstLineChars="196"/>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为了保障农民工工资支付，维护农民工的合法权益，甲乙丙各方特签订本协议书。</w:t>
      </w:r>
    </w:p>
    <w:p w14:paraId="58592BC2">
      <w:pPr>
        <w:widowControl/>
        <w:numPr>
          <w:ilvl w:val="0"/>
          <w:numId w:val="6"/>
        </w:numPr>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在与发包人签订建设工程施工合同之前，承包人应按照本协议第3条约定的缴纳标准，将农民工工资支付保证金预存至人力资源和社会保障行政管理部门指定的以下专用账户。未缴纳农民工工资支付保证金的，发包人不与其签订建设工程施工合同。</w:t>
      </w:r>
    </w:p>
    <w:p w14:paraId="0C58507E">
      <w:pPr>
        <w:widowControl/>
        <w:adjustRightInd w:val="0"/>
        <w:snapToGrid w:val="0"/>
        <w:spacing w:line="360" w:lineRule="auto"/>
        <w:jc w:val="left"/>
        <w:rPr>
          <w:rFonts w:ascii="仿宋" w:hAnsi="仿宋" w:eastAsia="仿宋" w:cs="宋体"/>
          <w:b/>
          <w:color w:val="auto"/>
          <w:spacing w:val="-20"/>
          <w:kern w:val="0"/>
          <w:szCs w:val="21"/>
          <w:highlight w:val="none"/>
        </w:rPr>
      </w:pPr>
      <w:r>
        <w:rPr>
          <w:rFonts w:hint="eastAsia" w:ascii="仿宋" w:hAnsi="仿宋" w:eastAsia="仿宋" w:cs="宋体"/>
          <w:color w:val="auto"/>
          <w:kern w:val="0"/>
          <w:szCs w:val="21"/>
          <w:highlight w:val="none"/>
        </w:rPr>
        <w:t xml:space="preserve">    </w:t>
      </w:r>
      <w:r>
        <w:rPr>
          <w:rFonts w:hint="eastAsia" w:ascii="仿宋" w:hAnsi="仿宋" w:eastAsia="仿宋" w:cs="宋体"/>
          <w:b/>
          <w:color w:val="auto"/>
          <w:kern w:val="0"/>
          <w:szCs w:val="21"/>
          <w:highlight w:val="none"/>
        </w:rPr>
        <w:t>开户名称：</w:t>
      </w:r>
    </w:p>
    <w:p w14:paraId="4F8F701B">
      <w:pPr>
        <w:widowControl/>
        <w:adjustRightInd w:val="0"/>
        <w:snapToGrid w:val="0"/>
        <w:spacing w:line="360" w:lineRule="auto"/>
        <w:ind w:firstLine="422" w:firstLineChars="200"/>
        <w:jc w:val="left"/>
        <w:rPr>
          <w:rFonts w:ascii="仿宋" w:hAnsi="仿宋" w:eastAsia="仿宋" w:cs="宋体"/>
          <w:b/>
          <w:color w:val="auto"/>
          <w:kern w:val="0"/>
          <w:szCs w:val="21"/>
          <w:highlight w:val="none"/>
        </w:rPr>
      </w:pPr>
      <w:r>
        <w:rPr>
          <w:rFonts w:hint="eastAsia" w:ascii="仿宋" w:hAnsi="仿宋" w:eastAsia="仿宋" w:cs="宋体"/>
          <w:b/>
          <w:color w:val="auto"/>
          <w:kern w:val="0"/>
          <w:szCs w:val="21"/>
          <w:highlight w:val="none"/>
        </w:rPr>
        <w:t>开户银行：</w:t>
      </w:r>
    </w:p>
    <w:p w14:paraId="44A1CA1D">
      <w:pPr>
        <w:widowControl/>
        <w:adjustRightInd w:val="0"/>
        <w:snapToGrid w:val="0"/>
        <w:spacing w:line="360" w:lineRule="auto"/>
        <w:ind w:firstLine="422" w:firstLineChars="200"/>
        <w:jc w:val="left"/>
        <w:rPr>
          <w:rFonts w:ascii="仿宋" w:hAnsi="仿宋" w:eastAsia="仿宋" w:cs="宋体"/>
          <w:color w:val="auto"/>
          <w:kern w:val="0"/>
          <w:szCs w:val="21"/>
          <w:highlight w:val="none"/>
        </w:rPr>
      </w:pPr>
      <w:r>
        <w:rPr>
          <w:rFonts w:hint="eastAsia" w:ascii="仿宋" w:hAnsi="仿宋" w:eastAsia="仿宋" w:cs="宋体"/>
          <w:b/>
          <w:color w:val="auto"/>
          <w:kern w:val="0"/>
          <w:szCs w:val="21"/>
          <w:highlight w:val="none"/>
        </w:rPr>
        <w:t>银行账号：</w:t>
      </w:r>
      <w:r>
        <w:rPr>
          <w:rFonts w:hint="eastAsia" w:ascii="仿宋" w:hAnsi="仿宋" w:eastAsia="仿宋" w:cs="宋体"/>
          <w:color w:val="auto"/>
          <w:kern w:val="0"/>
          <w:szCs w:val="21"/>
          <w:highlight w:val="none"/>
        </w:rPr>
        <w:t xml:space="preserve">                                                                                                                                                                                                                                                                                                                                                                                                                                                                                                                                                                                                                                                                                                                                                                                                                                                                                                                                                                                                                                                                                                                                                                                                                                                                                                                                                                                                                                                                                                                                                                                                                                                                                                                                                                                                                                                                                                                                                                                                                                                                </w:t>
      </w:r>
    </w:p>
    <w:p w14:paraId="61EEAC54">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2、承包人应在施工现场设置劳动保障监督栏，告知农民工的权利义务，公示西安市人力资源和社会保障行政管理部门监察机构举报投诉电话，接受监督。</w:t>
      </w:r>
    </w:p>
    <w:p w14:paraId="6D00E83F">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3、承包人预存农民工工资支付保证金的缴纳标准：</w:t>
      </w:r>
    </w:p>
    <w:p w14:paraId="7039A592">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（1）建筑工程造价在一千万元以下（含一千万元）的建筑工程，承包人按中标价的的2%预存农民工工资支付保证金；</w:t>
      </w:r>
    </w:p>
    <w:p w14:paraId="1A10CB9D">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（2）建筑工程造价在一千万元至五千万元（含五千万元）之间的建筑工程，承包人按中标价的1.5％预存农民工工资支付保证金，但缴纳的农民工工资支付保证金不得低于20万元。</w:t>
      </w:r>
    </w:p>
    <w:p w14:paraId="79441866">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（3）建筑工程造价在五千万元至一亿元（含一亿元）之间的建筑工程，承包人按中标价的1.3％预存农民工工资支付保证金，但缴纳的农民工工资支付保证金不得低于75万元。</w:t>
      </w:r>
    </w:p>
    <w:p w14:paraId="49DB1AB4">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（4）建筑工程造价在一亿元以上的建筑工程，承包人按中标价的1％预存农民工工资支付保证金，但缴纳的农民工工资支付保证金不得低于130万元。；</w:t>
      </w:r>
    </w:p>
    <w:p w14:paraId="6F6AD717">
      <w:pPr>
        <w:overflowPunct w:val="0"/>
        <w:adjustRightInd w:val="0"/>
        <w:snapToGrid w:val="0"/>
        <w:spacing w:line="360" w:lineRule="auto"/>
        <w:ind w:firstLine="403" w:firstLineChars="192"/>
        <w:rPr>
          <w:rFonts w:ascii="仿宋" w:hAnsi="仿宋" w:eastAsia="仿宋"/>
          <w:color w:val="auto"/>
          <w:szCs w:val="21"/>
          <w:highlight w:val="none"/>
          <w:u w:val="single"/>
        </w:rPr>
      </w:pPr>
      <w:r>
        <w:rPr>
          <w:rFonts w:hint="eastAsia" w:ascii="仿宋" w:hAnsi="仿宋" w:eastAsia="仿宋" w:cs="宋体"/>
          <w:color w:val="auto"/>
          <w:kern w:val="0"/>
          <w:szCs w:val="21"/>
          <w:highlight w:val="none"/>
        </w:rPr>
        <w:t>4、发包人每月支付工程进度款前，承包人须向发包人提供上月农民工工资发放的情况说明或农民工工资发放表备案。</w:t>
      </w:r>
    </w:p>
    <w:p w14:paraId="502E9B64">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5、若承包人施工项目存在拖欠或克扣农民工工资情况，经人力资源和社会保障行政管理部门调查属实的，承包人应在人力资源和社会保障行政管理部门限期内支付拖欠或克扣的农民工工资，逾期未支付的，人力资源和社会保障行政管理部门对被拖欠单位提供的《拖欠农民工工资名册》进行核实后，向承包人签发《农民工工资支付通知书》，启动农民工工资支付保证金予以代发。</w:t>
      </w:r>
    </w:p>
    <w:p w14:paraId="7B6C1B1A">
      <w:pPr>
        <w:overflowPunct w:val="0"/>
        <w:adjustRightInd w:val="0"/>
        <w:snapToGrid w:val="0"/>
        <w:spacing w:line="360" w:lineRule="auto"/>
        <w:ind w:firstLine="403" w:firstLineChars="192"/>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6、农民工工资支付保证金启动支付后，承包人应按人力资源和社会保障行政管理部门出具的《农民工工资支付保证金补存通知书》的要求，在10个工作日内补存已经支付的保证金。拒不补存的，发包人有权在工程进度款中相应扣除。</w:t>
      </w:r>
    </w:p>
    <w:p w14:paraId="20CD587F">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7、承包人应对分包单位及劳务公司工资支付情况进行监督，督促其规范管理，若分包单位及劳务公司出现拖欠农民工工资问题，承包人承担连带法律责任，人力资源和社会保障行政管理部门启动承包人农民工工资支付保证金予以代发。</w:t>
      </w:r>
    </w:p>
    <w:p w14:paraId="5D6699C6">
      <w:pPr>
        <w:widowControl/>
        <w:adjustRightInd w:val="0"/>
        <w:snapToGrid w:val="0"/>
        <w:spacing w:line="360" w:lineRule="auto"/>
        <w:ind w:firstLine="420" w:firstLineChars="200"/>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8、工程经竣工验收合格，承包人出具农民工工资付清证明文件后，人力资源和社会保障行政管理部门将农民工工资支付保证金（不计利息）返还承包人。</w:t>
      </w:r>
    </w:p>
    <w:p w14:paraId="42FA733B">
      <w:pPr>
        <w:widowControl/>
        <w:adjustRightInd w:val="0"/>
        <w:snapToGrid w:val="0"/>
        <w:spacing w:line="360" w:lineRule="auto"/>
        <w:ind w:firstLine="420" w:firstLineChars="200"/>
        <w:jc w:val="left"/>
        <w:rPr>
          <w:rFonts w:ascii="仿宋" w:hAnsi="仿宋" w:eastAsia="仿宋" w:cs="宋体"/>
          <w:color w:val="auto"/>
          <w:kern w:val="0"/>
          <w:szCs w:val="21"/>
          <w:highlight w:val="none"/>
          <w:lang w:val="zh-CN"/>
        </w:rPr>
      </w:pPr>
      <w:r>
        <w:rPr>
          <w:rFonts w:hint="eastAsia" w:ascii="仿宋" w:hAnsi="仿宋" w:eastAsia="仿宋" w:cs="宋体"/>
          <w:color w:val="auto"/>
          <w:kern w:val="0"/>
          <w:szCs w:val="21"/>
          <w:highlight w:val="none"/>
          <w:lang w:val="zh-CN"/>
        </w:rPr>
        <w:t>9、</w:t>
      </w:r>
      <w:r>
        <w:rPr>
          <w:rFonts w:hint="eastAsia" w:ascii="仿宋" w:hAnsi="仿宋" w:eastAsia="仿宋" w:cs="宋体"/>
          <w:color w:val="auto"/>
          <w:kern w:val="0"/>
          <w:szCs w:val="21"/>
          <w:highlight w:val="none"/>
        </w:rPr>
        <w:t>农民工工资支付</w:t>
      </w:r>
      <w:r>
        <w:rPr>
          <w:rFonts w:hint="eastAsia" w:ascii="仿宋" w:hAnsi="仿宋" w:eastAsia="仿宋" w:cs="宋体"/>
          <w:color w:val="auto"/>
          <w:kern w:val="0"/>
          <w:szCs w:val="21"/>
          <w:highlight w:val="none"/>
          <w:lang w:val="zh-CN"/>
        </w:rPr>
        <w:t>保证金由</w:t>
      </w:r>
      <w:r>
        <w:rPr>
          <w:rFonts w:hint="eastAsia" w:ascii="仿宋" w:hAnsi="仿宋" w:eastAsia="仿宋" w:cs="宋体"/>
          <w:color w:val="auto"/>
          <w:kern w:val="0"/>
          <w:szCs w:val="21"/>
          <w:highlight w:val="none"/>
        </w:rPr>
        <w:t>相关地区人力资源和社会保障行政管理部门</w:t>
      </w:r>
      <w:r>
        <w:rPr>
          <w:rFonts w:hint="eastAsia" w:ascii="仿宋" w:hAnsi="仿宋" w:eastAsia="仿宋" w:cs="宋体"/>
          <w:color w:val="auto"/>
          <w:kern w:val="0"/>
          <w:szCs w:val="21"/>
          <w:highlight w:val="none"/>
          <w:lang w:val="zh-CN"/>
        </w:rPr>
        <w:t>核定，发包人财政财务部统一收取，专户存储，专款专用。</w:t>
      </w:r>
    </w:p>
    <w:p w14:paraId="23E1E552">
      <w:pPr>
        <w:autoSpaceDE w:val="0"/>
        <w:autoSpaceDN w:val="0"/>
        <w:adjustRightInd w:val="0"/>
        <w:snapToGrid w:val="0"/>
        <w:spacing w:line="360" w:lineRule="auto"/>
        <w:ind w:firstLine="560"/>
        <w:rPr>
          <w:rFonts w:ascii="仿宋" w:hAnsi="仿宋" w:eastAsia="仿宋"/>
          <w:b/>
          <w:color w:val="auto"/>
          <w:szCs w:val="21"/>
          <w:highlight w:val="none"/>
          <w:lang w:val="zh-CN"/>
        </w:rPr>
      </w:pPr>
      <w:r>
        <w:rPr>
          <w:rFonts w:hint="eastAsia" w:ascii="仿宋" w:hAnsi="仿宋" w:eastAsia="仿宋"/>
          <w:b/>
          <w:color w:val="auto"/>
          <w:szCs w:val="21"/>
          <w:highlight w:val="none"/>
          <w:lang w:val="zh-CN"/>
        </w:rPr>
        <w:t>发包人：</w:t>
      </w:r>
      <w:r>
        <w:rPr>
          <w:rFonts w:hint="eastAsia" w:ascii="仿宋" w:hAnsi="仿宋" w:eastAsia="仿宋"/>
          <w:b/>
          <w:color w:val="auto"/>
          <w:szCs w:val="21"/>
          <w:highlight w:val="none"/>
          <w:u w:val="single"/>
          <w:lang w:val="zh-CN"/>
        </w:rPr>
        <w:t xml:space="preserve">                                  </w:t>
      </w:r>
      <w:r>
        <w:rPr>
          <w:rFonts w:hint="eastAsia" w:ascii="仿宋" w:hAnsi="仿宋" w:eastAsia="仿宋"/>
          <w:b/>
          <w:color w:val="auto"/>
          <w:szCs w:val="21"/>
          <w:highlight w:val="none"/>
        </w:rPr>
        <w:t xml:space="preserve">                 </w:t>
      </w:r>
      <w:r>
        <w:rPr>
          <w:rFonts w:hint="eastAsia" w:ascii="仿宋" w:hAnsi="仿宋" w:eastAsia="仿宋" w:cs="宋体"/>
          <w:b/>
          <w:color w:val="auto"/>
          <w:kern w:val="0"/>
          <w:szCs w:val="21"/>
          <w:highlight w:val="none"/>
        </w:rPr>
        <w:t>2023年  月  日</w:t>
      </w:r>
    </w:p>
    <w:p w14:paraId="39D81C08">
      <w:pPr>
        <w:autoSpaceDE w:val="0"/>
        <w:autoSpaceDN w:val="0"/>
        <w:adjustRightInd w:val="0"/>
        <w:snapToGrid w:val="0"/>
        <w:spacing w:line="360" w:lineRule="auto"/>
        <w:ind w:firstLine="560"/>
        <w:rPr>
          <w:rFonts w:ascii="仿宋" w:hAnsi="仿宋" w:eastAsia="仿宋"/>
          <w:b/>
          <w:color w:val="auto"/>
          <w:szCs w:val="21"/>
          <w:highlight w:val="none"/>
          <w:lang w:val="zh-CN"/>
        </w:rPr>
      </w:pPr>
    </w:p>
    <w:p w14:paraId="4BC2D604">
      <w:pPr>
        <w:autoSpaceDE w:val="0"/>
        <w:autoSpaceDN w:val="0"/>
        <w:adjustRightInd w:val="0"/>
        <w:snapToGrid w:val="0"/>
        <w:spacing w:line="360" w:lineRule="auto"/>
        <w:ind w:firstLine="560"/>
        <w:rPr>
          <w:rFonts w:ascii="仿宋" w:hAnsi="仿宋" w:eastAsia="仿宋"/>
          <w:b/>
          <w:color w:val="auto"/>
          <w:szCs w:val="21"/>
          <w:highlight w:val="none"/>
          <w:lang w:val="zh-CN"/>
        </w:rPr>
      </w:pPr>
      <w:r>
        <w:rPr>
          <w:rFonts w:hint="eastAsia" w:ascii="仿宋" w:hAnsi="仿宋" w:eastAsia="仿宋"/>
          <w:b/>
          <w:color w:val="auto"/>
          <w:szCs w:val="21"/>
          <w:highlight w:val="none"/>
          <w:lang w:val="zh-CN"/>
        </w:rPr>
        <w:t>承包人：</w:t>
      </w:r>
      <w:r>
        <w:rPr>
          <w:rFonts w:hint="eastAsia" w:ascii="仿宋" w:hAnsi="仿宋" w:eastAsia="仿宋"/>
          <w:b/>
          <w:color w:val="auto"/>
          <w:szCs w:val="21"/>
          <w:highlight w:val="none"/>
          <w:u w:val="single"/>
        </w:rPr>
        <w:t xml:space="preserve">                                   </w:t>
      </w:r>
      <w:r>
        <w:rPr>
          <w:rFonts w:hint="eastAsia" w:ascii="仿宋" w:hAnsi="仿宋" w:eastAsia="仿宋"/>
          <w:b/>
          <w:color w:val="auto"/>
          <w:szCs w:val="21"/>
          <w:highlight w:val="none"/>
        </w:rPr>
        <w:t xml:space="preserve">                </w:t>
      </w:r>
      <w:r>
        <w:rPr>
          <w:rFonts w:hint="eastAsia" w:ascii="仿宋" w:hAnsi="仿宋" w:eastAsia="仿宋" w:cs="宋体"/>
          <w:b/>
          <w:color w:val="auto"/>
          <w:kern w:val="0"/>
          <w:szCs w:val="21"/>
          <w:highlight w:val="none"/>
        </w:rPr>
        <w:t>2023年  月  日</w:t>
      </w:r>
    </w:p>
    <w:p w14:paraId="7ECFBBED">
      <w:pPr>
        <w:adjustRightInd w:val="0"/>
        <w:snapToGrid w:val="0"/>
        <w:spacing w:line="360" w:lineRule="auto"/>
        <w:ind w:firstLine="480" w:firstLineChars="200"/>
        <w:rPr>
          <w:rFonts w:ascii="仿宋" w:hAnsi="仿宋" w:eastAsia="仿宋"/>
          <w:color w:val="auto"/>
          <w:sz w:val="24"/>
          <w:highlight w:val="none"/>
        </w:rPr>
      </w:pPr>
    </w:p>
    <w:p w14:paraId="5A850190">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Bodoni MT">
    <w:panose1 w:val="02070603080606020203"/>
    <w:charset w:val="00"/>
    <w:family w:val="roman"/>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327520"/>
    <w:multiLevelType w:val="singleLevel"/>
    <w:tmpl w:val="99327520"/>
    <w:lvl w:ilvl="0" w:tentative="0">
      <w:start w:val="1"/>
      <w:numFmt w:val="decimal"/>
      <w:suff w:val="nothing"/>
      <w:lvlText w:val="%1）"/>
      <w:lvlJc w:val="left"/>
    </w:lvl>
  </w:abstractNum>
  <w:abstractNum w:abstractNumId="1">
    <w:nsid w:val="C163EB24"/>
    <w:multiLevelType w:val="singleLevel"/>
    <w:tmpl w:val="C163EB24"/>
    <w:lvl w:ilvl="0" w:tentative="0">
      <w:start w:val="2"/>
      <w:numFmt w:val="decimal"/>
      <w:suff w:val="nothing"/>
      <w:lvlText w:val="（%1）"/>
      <w:lvlJc w:val="left"/>
    </w:lvl>
  </w:abstractNum>
  <w:abstractNum w:abstractNumId="2">
    <w:nsid w:val="0523970D"/>
    <w:multiLevelType w:val="singleLevel"/>
    <w:tmpl w:val="0523970D"/>
    <w:lvl w:ilvl="0" w:tentative="0">
      <w:start w:val="2"/>
      <w:numFmt w:val="decimal"/>
      <w:suff w:val="nothing"/>
      <w:lvlText w:val="%1、"/>
      <w:lvlJc w:val="left"/>
    </w:lvl>
  </w:abstractNum>
  <w:abstractNum w:abstractNumId="3">
    <w:nsid w:val="0ACB36DC"/>
    <w:multiLevelType w:val="multilevel"/>
    <w:tmpl w:val="0ACB36DC"/>
    <w:lvl w:ilvl="0" w:tentative="0">
      <w:start w:val="1"/>
      <w:numFmt w:val="decimal"/>
      <w:lvlText w:val="（%1）"/>
      <w:lvlJc w:val="left"/>
      <w:pPr>
        <w:tabs>
          <w:tab w:val="left" w:pos="1120"/>
        </w:tabs>
        <w:ind w:left="1120" w:hanging="420"/>
      </w:pPr>
    </w:lvl>
    <w:lvl w:ilvl="1" w:tentative="0">
      <w:start w:val="1"/>
      <w:numFmt w:val="decimal"/>
      <w:lvlText w:val="%2."/>
      <w:lvlJc w:val="left"/>
      <w:pPr>
        <w:tabs>
          <w:tab w:val="left" w:pos="840"/>
        </w:tabs>
        <w:ind w:left="840" w:hanging="420"/>
      </w:pPr>
      <w:rPr>
        <w:color w:val="00000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90F770A"/>
    <w:multiLevelType w:val="singleLevel"/>
    <w:tmpl w:val="190F770A"/>
    <w:lvl w:ilvl="0" w:tentative="0">
      <w:start w:val="1"/>
      <w:numFmt w:val="decimal"/>
      <w:suff w:val="nothing"/>
      <w:lvlText w:val="%1、"/>
      <w:lvlJc w:val="left"/>
      <w:pPr>
        <w:tabs>
          <w:tab w:val="left" w:pos="0"/>
        </w:tabs>
        <w:ind w:left="0" w:firstLine="0"/>
      </w:pPr>
    </w:lvl>
  </w:abstractNum>
  <w:abstractNum w:abstractNumId="5">
    <w:nsid w:val="55392C28"/>
    <w:multiLevelType w:val="multilevel"/>
    <w:tmpl w:val="55392C28"/>
    <w:lvl w:ilvl="0" w:tentative="0">
      <w:start w:val="1"/>
      <w:numFmt w:val="decimal"/>
      <w:lvlText w:val="（%1）"/>
      <w:lvlJc w:val="left"/>
      <w:pPr>
        <w:tabs>
          <w:tab w:val="left" w:pos="1120"/>
        </w:tabs>
        <w:ind w:left="11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 w:numId="4">
    <w:abstractNumId w:val="3"/>
    <w:lvlOverride w:ilvl="0">
      <w:startOverride w:val="1"/>
      <w:lvl w:ilvl="0" w:tentative="1">
        <w:start w:val="1"/>
        <w:numFmt w:val="decimal"/>
        <w:lvlText w:val="（%1）"/>
        <w:lvlJc w:val="left"/>
        <w:pPr>
          <w:tabs>
            <w:tab w:val="left" w:pos="1120"/>
          </w:tabs>
          <w:ind w:left="1120" w:hanging="420"/>
        </w:pPr>
      </w:lvl>
    </w:lvlOverride>
    <w:lvlOverride w:ilvl="1">
      <w:startOverride w:val="1"/>
      <w:lvl w:ilvl="1" w:tentative="1">
        <w:start w:val="1"/>
        <w:numFmt w:val="decimal"/>
        <w:lvlText w:val="%2."/>
        <w:lvlJc w:val="left"/>
        <w:pPr>
          <w:tabs>
            <w:tab w:val="left" w:pos="840"/>
          </w:tabs>
          <w:ind w:left="840" w:hanging="420"/>
        </w:pPr>
        <w:rPr>
          <w:color w:val="000000"/>
        </w:rPr>
      </w:lvl>
    </w:lvlOverride>
    <w:lvlOverride w:ilvl="2">
      <w:startOverride w:val="1"/>
      <w:lvl w:ilvl="2" w:tentative="1">
        <w:start w:val="1"/>
        <w:numFmt w:val="lowerRoman"/>
        <w:lvlText w:val="%3."/>
        <w:lvlJc w:val="right"/>
        <w:pPr>
          <w:tabs>
            <w:tab w:val="left" w:pos="1260"/>
          </w:tabs>
          <w:ind w:left="1260" w:hanging="420"/>
        </w:pPr>
      </w:lvl>
    </w:lvlOverride>
    <w:lvlOverride w:ilvl="3">
      <w:startOverride w:val="1"/>
      <w:lvl w:ilvl="3" w:tentative="1">
        <w:start w:val="1"/>
        <w:numFmt w:val="decimal"/>
        <w:lvlText w:val="%4."/>
        <w:lvlJc w:val="left"/>
        <w:pPr>
          <w:tabs>
            <w:tab w:val="left" w:pos="1680"/>
          </w:tabs>
          <w:ind w:left="1680" w:hanging="420"/>
        </w:pPr>
      </w:lvl>
    </w:lvlOverride>
    <w:lvlOverride w:ilvl="4">
      <w:startOverride w:val="1"/>
      <w:lvl w:ilvl="4" w:tentative="1">
        <w:start w:val="1"/>
        <w:numFmt w:val="lowerLetter"/>
        <w:lvlText w:val="%5)"/>
        <w:lvlJc w:val="left"/>
        <w:pPr>
          <w:tabs>
            <w:tab w:val="left" w:pos="2100"/>
          </w:tabs>
          <w:ind w:left="2100" w:hanging="420"/>
        </w:pPr>
      </w:lvl>
    </w:lvlOverride>
    <w:lvlOverride w:ilvl="5">
      <w:startOverride w:val="1"/>
      <w:lvl w:ilvl="5" w:tentative="1">
        <w:start w:val="1"/>
        <w:numFmt w:val="lowerRoman"/>
        <w:lvlText w:val="%6."/>
        <w:lvlJc w:val="right"/>
        <w:pPr>
          <w:tabs>
            <w:tab w:val="left" w:pos="2520"/>
          </w:tabs>
          <w:ind w:left="2520" w:hanging="420"/>
        </w:pPr>
      </w:lvl>
    </w:lvlOverride>
    <w:lvlOverride w:ilvl="6">
      <w:startOverride w:val="1"/>
      <w:lvl w:ilvl="6" w:tentative="1">
        <w:start w:val="1"/>
        <w:numFmt w:val="decimal"/>
        <w:lvlText w:val="%7."/>
        <w:lvlJc w:val="left"/>
        <w:pPr>
          <w:tabs>
            <w:tab w:val="left" w:pos="2940"/>
          </w:tabs>
          <w:ind w:left="2940" w:hanging="420"/>
        </w:pPr>
      </w:lvl>
    </w:lvlOverride>
    <w:lvlOverride w:ilvl="7">
      <w:startOverride w:val="1"/>
      <w:lvl w:ilvl="7" w:tentative="1">
        <w:start w:val="1"/>
        <w:numFmt w:val="lowerLetter"/>
        <w:lvlText w:val="%8)"/>
        <w:lvlJc w:val="left"/>
        <w:pPr>
          <w:tabs>
            <w:tab w:val="left" w:pos="3360"/>
          </w:tabs>
          <w:ind w:left="3360" w:hanging="420"/>
        </w:pPr>
      </w:lvl>
    </w:lvlOverride>
    <w:lvlOverride w:ilvl="8">
      <w:startOverride w:val="1"/>
      <w:lvl w:ilvl="8" w:tentative="1">
        <w:start w:val="1"/>
        <w:numFmt w:val="lowerRoman"/>
        <w:lvlText w:val="%9."/>
        <w:lvlJc w:val="right"/>
        <w:pPr>
          <w:tabs>
            <w:tab w:val="left" w:pos="3780"/>
          </w:tabs>
          <w:ind w:left="3780" w:hanging="420"/>
        </w:pPr>
      </w:lvl>
    </w:lvlOverride>
  </w:num>
  <w:num w:numId="5">
    <w:abstractNumId w:val="5"/>
    <w:lvlOverride w:ilvl="0">
      <w:startOverride w:val="1"/>
      <w:lvl w:ilvl="0" w:tentative="1">
        <w:start w:val="1"/>
        <w:numFmt w:val="decimal"/>
        <w:lvlText w:val="（%1）"/>
        <w:lvlJc w:val="left"/>
        <w:pPr>
          <w:tabs>
            <w:tab w:val="left" w:pos="1120"/>
          </w:tabs>
          <w:ind w:left="1120" w:hanging="420"/>
        </w:pPr>
      </w:lvl>
    </w:lvlOverride>
    <w:lvlOverride w:ilvl="1">
      <w:startOverride w:val="1"/>
      <w:lvl w:ilvl="1" w:tentative="1">
        <w:start w:val="1"/>
        <w:numFmt w:val="lowerLetter"/>
        <w:lvlText w:val="%2)"/>
        <w:lvlJc w:val="left"/>
        <w:pPr>
          <w:tabs>
            <w:tab w:val="left" w:pos="840"/>
          </w:tabs>
          <w:ind w:left="840" w:hanging="420"/>
        </w:pPr>
      </w:lvl>
    </w:lvlOverride>
    <w:lvlOverride w:ilvl="2">
      <w:startOverride w:val="1"/>
      <w:lvl w:ilvl="2" w:tentative="1">
        <w:start w:val="1"/>
        <w:numFmt w:val="lowerRoman"/>
        <w:lvlText w:val="%3."/>
        <w:lvlJc w:val="right"/>
        <w:pPr>
          <w:tabs>
            <w:tab w:val="left" w:pos="1260"/>
          </w:tabs>
          <w:ind w:left="1260" w:hanging="420"/>
        </w:pPr>
      </w:lvl>
    </w:lvlOverride>
    <w:lvlOverride w:ilvl="3">
      <w:startOverride w:val="1"/>
      <w:lvl w:ilvl="3" w:tentative="1">
        <w:start w:val="1"/>
        <w:numFmt w:val="decimal"/>
        <w:lvlText w:val="%4."/>
        <w:lvlJc w:val="left"/>
        <w:pPr>
          <w:tabs>
            <w:tab w:val="left" w:pos="1680"/>
          </w:tabs>
          <w:ind w:left="1680" w:hanging="420"/>
        </w:pPr>
      </w:lvl>
    </w:lvlOverride>
    <w:lvlOverride w:ilvl="4">
      <w:startOverride w:val="1"/>
      <w:lvl w:ilvl="4" w:tentative="1">
        <w:start w:val="1"/>
        <w:numFmt w:val="lowerLetter"/>
        <w:lvlText w:val="%5)"/>
        <w:lvlJc w:val="left"/>
        <w:pPr>
          <w:tabs>
            <w:tab w:val="left" w:pos="2100"/>
          </w:tabs>
          <w:ind w:left="2100" w:hanging="420"/>
        </w:pPr>
      </w:lvl>
    </w:lvlOverride>
    <w:lvlOverride w:ilvl="5">
      <w:startOverride w:val="1"/>
      <w:lvl w:ilvl="5" w:tentative="1">
        <w:start w:val="1"/>
        <w:numFmt w:val="lowerRoman"/>
        <w:lvlText w:val="%6."/>
        <w:lvlJc w:val="right"/>
        <w:pPr>
          <w:tabs>
            <w:tab w:val="left" w:pos="2520"/>
          </w:tabs>
          <w:ind w:left="2520" w:hanging="420"/>
        </w:pPr>
      </w:lvl>
    </w:lvlOverride>
    <w:lvlOverride w:ilvl="6">
      <w:startOverride w:val="1"/>
      <w:lvl w:ilvl="6" w:tentative="1">
        <w:start w:val="1"/>
        <w:numFmt w:val="decimal"/>
        <w:lvlText w:val="%7."/>
        <w:lvlJc w:val="left"/>
        <w:pPr>
          <w:tabs>
            <w:tab w:val="left" w:pos="2940"/>
          </w:tabs>
          <w:ind w:left="2940" w:hanging="420"/>
        </w:pPr>
      </w:lvl>
    </w:lvlOverride>
    <w:lvlOverride w:ilvl="7">
      <w:startOverride w:val="1"/>
      <w:lvl w:ilvl="7" w:tentative="1">
        <w:start w:val="1"/>
        <w:numFmt w:val="lowerLetter"/>
        <w:lvlText w:val="%8)"/>
        <w:lvlJc w:val="left"/>
        <w:pPr>
          <w:tabs>
            <w:tab w:val="left" w:pos="3360"/>
          </w:tabs>
          <w:ind w:left="3360" w:hanging="420"/>
        </w:pPr>
      </w:lvl>
    </w:lvlOverride>
    <w:lvlOverride w:ilvl="8">
      <w:startOverride w:val="1"/>
      <w:lvl w:ilvl="8" w:tentative="1">
        <w:start w:val="1"/>
        <w:numFmt w:val="lowerRoman"/>
        <w:lvlText w:val="%9."/>
        <w:lvlJc w:val="right"/>
        <w:pPr>
          <w:tabs>
            <w:tab w:val="left" w:pos="3780"/>
          </w:tabs>
          <w:ind w:left="3780" w:hanging="420"/>
        </w:pPr>
      </w:lvl>
    </w:lvlOverride>
  </w:num>
  <w:num w:numId="6">
    <w:abstractNumId w:val="4"/>
    <w:lvlOverride w:ilvl="0">
      <w:startOverride w:val="1"/>
      <w:lvl w:ilvl="0" w:tentative="1">
        <w:start w:val="1"/>
        <w:numFmt w:val="decimal"/>
        <w:suff w:val="nothing"/>
        <w:lvlText w:val="%1、"/>
        <w:lvlJc w:val="left"/>
        <w:pPr>
          <w:tabs>
            <w:tab w:val="left" w:pos="0"/>
          </w:tabs>
          <w:ind w:left="0" w:firstLine="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TA5NDY0Y2QwZDA5NjI1OTA5Nzc3Y2MwNmFkOGQifQ=="/>
  </w:docVars>
  <w:rsids>
    <w:rsidRoot w:val="00000000"/>
    <w:rsid w:val="038A3960"/>
    <w:rsid w:val="057C19CF"/>
    <w:rsid w:val="0822685D"/>
    <w:rsid w:val="09557541"/>
    <w:rsid w:val="099208F9"/>
    <w:rsid w:val="0BAD1A61"/>
    <w:rsid w:val="0C3923C8"/>
    <w:rsid w:val="0D731909"/>
    <w:rsid w:val="0D7D3AF3"/>
    <w:rsid w:val="0EF425D6"/>
    <w:rsid w:val="0F1113DA"/>
    <w:rsid w:val="14A16D5C"/>
    <w:rsid w:val="179901BE"/>
    <w:rsid w:val="19F348E6"/>
    <w:rsid w:val="1B3F2E2B"/>
    <w:rsid w:val="1D8B67FB"/>
    <w:rsid w:val="23DE58D7"/>
    <w:rsid w:val="2DC5530F"/>
    <w:rsid w:val="30640F12"/>
    <w:rsid w:val="311E37B6"/>
    <w:rsid w:val="33313F09"/>
    <w:rsid w:val="36AD2EE7"/>
    <w:rsid w:val="3B110743"/>
    <w:rsid w:val="408C425F"/>
    <w:rsid w:val="42142B6C"/>
    <w:rsid w:val="49466667"/>
    <w:rsid w:val="4B3D0885"/>
    <w:rsid w:val="4C5C2F8D"/>
    <w:rsid w:val="4C7C1BA3"/>
    <w:rsid w:val="4FCB46B2"/>
    <w:rsid w:val="50DE6667"/>
    <w:rsid w:val="5383772C"/>
    <w:rsid w:val="550F5041"/>
    <w:rsid w:val="55C2631E"/>
    <w:rsid w:val="5D9B1B67"/>
    <w:rsid w:val="5F3A1A5D"/>
    <w:rsid w:val="666845B1"/>
    <w:rsid w:val="68FB795E"/>
    <w:rsid w:val="6AD71D05"/>
    <w:rsid w:val="6B353FC3"/>
    <w:rsid w:val="6B5670CE"/>
    <w:rsid w:val="6D540FC5"/>
    <w:rsid w:val="6EAE5472"/>
    <w:rsid w:val="704C4F43"/>
    <w:rsid w:val="79ED3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0"/>
    <w:pPr>
      <w:spacing w:before="260" w:after="260" w:line="416" w:lineRule="atLeast"/>
      <w:outlineLvl w:val="1"/>
    </w:pPr>
    <w:rPr>
      <w:rFonts w:ascii="Cambria" w:hAnsi="Cambria"/>
      <w:sz w:val="32"/>
      <w:szCs w:val="32"/>
    </w:rPr>
  </w:style>
  <w:style w:type="paragraph" w:styleId="3">
    <w:name w:val="heading 4"/>
    <w:basedOn w:val="1"/>
    <w:next w:val="1"/>
    <w:qFormat/>
    <w:uiPriority w:val="0"/>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paragraph" w:styleId="5">
    <w:name w:val="Body Text Indent"/>
    <w:basedOn w:val="1"/>
    <w:qFormat/>
    <w:uiPriority w:val="0"/>
    <w:pPr>
      <w:widowControl/>
      <w:spacing w:line="360" w:lineRule="auto"/>
      <w:ind w:firstLine="709"/>
      <w:jc w:val="left"/>
    </w:pPr>
    <w:rPr>
      <w:rFonts w:ascii="Tahoma" w:hAnsi="Tahoma"/>
    </w:rPr>
  </w:style>
  <w:style w:type="paragraph" w:styleId="6">
    <w:name w:val="Plain Text"/>
    <w:basedOn w:val="1"/>
    <w:qFormat/>
    <w:uiPriority w:val="0"/>
    <w:pPr>
      <w:spacing w:line="360" w:lineRule="auto"/>
    </w:pPr>
    <w:rPr>
      <w:rFonts w:ascii="宋体" w:hAnsi="Courier New"/>
      <w:szCs w:val="21"/>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34666</Words>
  <Characters>35654</Characters>
  <Lines>0</Lines>
  <Paragraphs>0</Paragraphs>
  <TotalTime>15</TotalTime>
  <ScaleCrop>false</ScaleCrop>
  <LinksUpToDate>false</LinksUpToDate>
  <CharactersWithSpaces>37178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2023-09-06T07:44:00Z</dcterms:created>
  <dc:creator>哒哒</dc:creator>
  <cp:lastModifiedBy>℡Autism ミ</cp:lastModifiedBy>
  <dcterms:modified xsi:type="dcterms:W3CDTF">2025-12-05T11:23:40Z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9C0CAA2EB32648FE9688362261DC2E6F_13</vt:lpwstr>
  </property>
  <property fmtid="{D5CDD505-2E9C-101B-9397-08002B2CF9AE}" pid="4" name="KSOTemplateDocerSaveRecord">
    <vt:lpwstr>eyJoZGlkIjoiOTJlZjBiZTM2NDgyMjNmOTEzZGQ2MWVhNjc1MzdmYTciLCJ1c2VySWQiOiIzODE5MDc1NjQifQ==</vt:lpwstr>
  </property>
</Properties>
</file>