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5D9C7">
      <w:pPr>
        <w:pStyle w:val="13"/>
        <w:spacing w:line="577" w:lineRule="exact"/>
        <w:jc w:val="center"/>
        <w:outlineLvl w:val="0"/>
        <w:rPr>
          <w:rFonts w:ascii="宋体" w:hAnsi="宋体" w:eastAsia="宋体"/>
          <w:color w:val="auto"/>
          <w:highlight w:val="none"/>
          <w:lang w:eastAsia="zh-CN"/>
        </w:rPr>
      </w:pPr>
      <w:bookmarkStart w:id="0" w:name="_Toc17537"/>
      <w:bookmarkStart w:id="1" w:name="_Toc9810_WPSOffice_Level1"/>
      <w:bookmarkStart w:id="2" w:name="_Toc8949"/>
    </w:p>
    <w:p w14:paraId="2AF02431">
      <w:pPr>
        <w:pStyle w:val="13"/>
        <w:spacing w:line="577" w:lineRule="exact"/>
        <w:jc w:val="center"/>
        <w:outlineLvl w:val="0"/>
        <w:rPr>
          <w:rFonts w:ascii="宋体" w:hAnsi="宋体" w:eastAsia="宋体"/>
          <w:color w:val="auto"/>
          <w:highlight w:val="none"/>
          <w:lang w:eastAsia="zh-CN"/>
        </w:rPr>
      </w:pPr>
    </w:p>
    <w:p w14:paraId="6AA01F8C">
      <w:pPr>
        <w:pStyle w:val="13"/>
        <w:spacing w:line="577" w:lineRule="exact"/>
        <w:jc w:val="center"/>
        <w:outlineLvl w:val="0"/>
        <w:rPr>
          <w:rFonts w:hint="eastAsia" w:ascii="宋体" w:hAnsi="宋体" w:eastAsia="宋体"/>
          <w:color w:val="auto"/>
          <w:highlight w:val="none"/>
          <w:lang w:eastAsia="zh-CN"/>
        </w:rPr>
      </w:pPr>
      <w:r>
        <w:rPr>
          <w:rFonts w:hint="eastAsia" w:ascii="宋体" w:hAnsi="宋体" w:eastAsia="宋体"/>
          <w:color w:val="auto"/>
          <w:highlight w:val="none"/>
          <w:lang w:eastAsia="zh-CN"/>
        </w:rPr>
        <w:t>合同条款及格式</w:t>
      </w:r>
      <w:bookmarkEnd w:id="0"/>
      <w:bookmarkEnd w:id="1"/>
      <w:bookmarkEnd w:id="2"/>
    </w:p>
    <w:p w14:paraId="464AA186">
      <w:pPr>
        <w:spacing w:line="360" w:lineRule="auto"/>
        <w:jc w:val="both"/>
        <w:rPr>
          <w:rFonts w:hint="eastAsia" w:ascii="宋体" w:hAnsi="宋体"/>
          <w:bCs/>
          <w:color w:val="auto"/>
          <w:kern w:val="2"/>
          <w:sz w:val="28"/>
          <w:szCs w:val="28"/>
          <w:highlight w:val="none"/>
          <w:lang w:eastAsia="zh-CN"/>
        </w:rPr>
      </w:pPr>
    </w:p>
    <w:p w14:paraId="62C72CB3">
      <w:pPr>
        <w:ind w:left="420"/>
        <w:rPr>
          <w:rFonts w:hint="eastAsia" w:ascii="宋体" w:hAnsi="宋体"/>
          <w:color w:val="auto"/>
          <w:sz w:val="24"/>
          <w:szCs w:val="24"/>
          <w:highlight w:val="none"/>
          <w:lang w:eastAsia="zh-CN"/>
        </w:rPr>
      </w:pPr>
      <w:r>
        <w:rPr>
          <w:rFonts w:ascii="宋体" w:hAnsi="宋体"/>
          <w:color w:val="auto"/>
          <w:sz w:val="24"/>
          <w:szCs w:val="24"/>
          <w:highlight w:val="none"/>
          <w:lang w:eastAsia="zh-CN"/>
        </w:rPr>
        <w:t xml:space="preserve">    </w:t>
      </w:r>
      <w:r>
        <w:rPr>
          <w:rFonts w:hint="eastAsia" w:ascii="宋体" w:hAnsi="宋体"/>
          <w:color w:val="auto"/>
          <w:sz w:val="24"/>
          <w:szCs w:val="24"/>
          <w:highlight w:val="none"/>
          <w:lang w:eastAsia="zh-CN"/>
        </w:rPr>
        <w:t xml:space="preserve">      </w:t>
      </w:r>
      <w:r>
        <w:rPr>
          <w:rFonts w:ascii="宋体" w:hAnsi="宋体"/>
          <w:color w:val="auto"/>
          <w:sz w:val="24"/>
          <w:szCs w:val="24"/>
          <w:highlight w:val="none"/>
          <w:lang w:eastAsia="zh-CN"/>
        </w:rPr>
        <w:t xml:space="preserve"> </w:t>
      </w:r>
      <w:r>
        <w:rPr>
          <w:rFonts w:hint="eastAsia" w:ascii="宋体" w:hAnsi="宋体"/>
          <w:color w:val="auto"/>
          <w:sz w:val="24"/>
          <w:szCs w:val="24"/>
          <w:highlight w:val="none"/>
          <w:lang w:eastAsia="zh-CN"/>
        </w:rPr>
        <w:t xml:space="preserve"> </w:t>
      </w:r>
      <w:r>
        <w:rPr>
          <w:rFonts w:ascii="宋体" w:hAnsi="宋体"/>
          <w:color w:val="auto"/>
          <w:sz w:val="24"/>
          <w:szCs w:val="24"/>
          <w:highlight w:val="none"/>
          <w:lang w:eastAsia="zh-CN"/>
        </w:rPr>
        <w:t xml:space="preserve">    </w:t>
      </w:r>
      <w:r>
        <w:rPr>
          <w:rFonts w:hint="eastAsia" w:ascii="宋体" w:hAnsi="宋体"/>
          <w:color w:val="auto"/>
          <w:sz w:val="24"/>
          <w:szCs w:val="24"/>
          <w:highlight w:val="none"/>
          <w:lang w:eastAsia="zh-CN"/>
        </w:rPr>
        <w:t xml:space="preserve">  </w:t>
      </w:r>
    </w:p>
    <w:p w14:paraId="768EF3A8">
      <w:pPr>
        <w:rPr>
          <w:color w:val="auto"/>
          <w:highlight w:val="none"/>
          <w:lang w:eastAsia="zh-CN"/>
        </w:rPr>
      </w:pPr>
    </w:p>
    <w:p w14:paraId="2F54EFA0">
      <w:pPr>
        <w:spacing w:line="360" w:lineRule="auto"/>
        <w:jc w:val="center"/>
        <w:rPr>
          <w:rFonts w:hint="eastAsia" w:ascii="宋体" w:hAnsi="宋体" w:cs="Times New Roman"/>
          <w:b/>
          <w:bCs/>
          <w:color w:val="auto"/>
          <w:sz w:val="44"/>
          <w:szCs w:val="44"/>
          <w:highlight w:val="none"/>
          <w:lang w:eastAsia="zh-CN"/>
        </w:rPr>
      </w:pPr>
      <w:r>
        <w:rPr>
          <w:rFonts w:hint="eastAsia" w:ascii="宋体" w:hAnsi="宋体" w:cs="Times New Roman"/>
          <w:b/>
          <w:bCs/>
          <w:color w:val="auto"/>
          <w:sz w:val="44"/>
          <w:szCs w:val="44"/>
          <w:highlight w:val="none"/>
          <w:lang w:eastAsia="zh-CN"/>
        </w:rPr>
        <w:t>铜川市一体化政务大数据平台</w:t>
      </w:r>
    </w:p>
    <w:p w14:paraId="47B72E99">
      <w:pPr>
        <w:spacing w:line="360" w:lineRule="auto"/>
        <w:jc w:val="center"/>
        <w:rPr>
          <w:rFonts w:hint="eastAsia" w:ascii="宋体" w:hAnsi="宋体" w:cs="Times New Roman"/>
          <w:b/>
          <w:bCs/>
          <w:color w:val="auto"/>
          <w:sz w:val="44"/>
          <w:szCs w:val="44"/>
          <w:highlight w:val="none"/>
          <w:lang w:eastAsia="zh-CN"/>
        </w:rPr>
      </w:pPr>
      <w:r>
        <w:rPr>
          <w:rFonts w:hint="eastAsia" w:ascii="宋体" w:hAnsi="宋体" w:cs="Times New Roman"/>
          <w:b/>
          <w:bCs/>
          <w:color w:val="auto"/>
          <w:sz w:val="44"/>
          <w:szCs w:val="44"/>
          <w:highlight w:val="none"/>
          <w:lang w:eastAsia="zh-CN"/>
        </w:rPr>
        <w:t>暨数据安全底座项目</w:t>
      </w:r>
    </w:p>
    <w:p w14:paraId="29CFF64F">
      <w:pPr>
        <w:spacing w:before="156" w:beforeLines="50" w:line="480" w:lineRule="exact"/>
        <w:ind w:firstLine="640" w:firstLineChars="200"/>
        <w:rPr>
          <w:rFonts w:hint="eastAsia" w:ascii="宋体" w:hAnsi="宋体" w:cs="Times New Roman"/>
          <w:color w:val="auto"/>
          <w:sz w:val="32"/>
          <w:szCs w:val="32"/>
          <w:highlight w:val="none"/>
          <w:lang w:eastAsia="zh-CN"/>
        </w:rPr>
      </w:pPr>
      <w:r>
        <w:rPr>
          <w:rFonts w:hint="eastAsia" w:ascii="宋体" w:hAnsi="宋体" w:cs="Times New Roman"/>
          <w:color w:val="auto"/>
          <w:sz w:val="32"/>
          <w:szCs w:val="32"/>
          <w:highlight w:val="none"/>
          <w:lang w:eastAsia="zh-CN"/>
        </w:rPr>
        <w:t xml:space="preserve"> </w:t>
      </w:r>
    </w:p>
    <w:p w14:paraId="6C480565">
      <w:pPr>
        <w:spacing w:before="156" w:beforeLines="50" w:line="480" w:lineRule="exact"/>
        <w:ind w:firstLine="640" w:firstLineChars="200"/>
        <w:rPr>
          <w:rFonts w:hint="eastAsia" w:ascii="宋体" w:hAnsi="宋体" w:cs="Times New Roman"/>
          <w:color w:val="auto"/>
          <w:sz w:val="32"/>
          <w:szCs w:val="32"/>
          <w:highlight w:val="none"/>
          <w:lang w:eastAsia="zh-CN"/>
        </w:rPr>
      </w:pPr>
      <w:r>
        <w:rPr>
          <w:rFonts w:hint="eastAsia" w:ascii="宋体" w:hAnsi="宋体" w:cs="Times New Roman"/>
          <w:color w:val="auto"/>
          <w:sz w:val="32"/>
          <w:szCs w:val="32"/>
          <w:highlight w:val="none"/>
          <w:lang w:eastAsia="zh-CN"/>
        </w:rPr>
        <w:t xml:space="preserve"> </w:t>
      </w:r>
    </w:p>
    <w:p w14:paraId="00D4DDD1">
      <w:pPr>
        <w:spacing w:before="156" w:beforeLines="50" w:line="480" w:lineRule="exact"/>
        <w:ind w:firstLine="643" w:firstLineChars="200"/>
        <w:rPr>
          <w:rFonts w:hint="eastAsia" w:ascii="宋体" w:hAnsi="宋体" w:cs="Times New Roman"/>
          <w:b/>
          <w:bCs/>
          <w:color w:val="auto"/>
          <w:sz w:val="32"/>
          <w:szCs w:val="32"/>
          <w:highlight w:val="none"/>
          <w:lang w:eastAsia="zh-CN"/>
        </w:rPr>
      </w:pPr>
      <w:r>
        <w:rPr>
          <w:rFonts w:hint="eastAsia" w:ascii="宋体" w:hAnsi="宋体" w:cs="Times New Roman"/>
          <w:b/>
          <w:bCs/>
          <w:color w:val="auto"/>
          <w:sz w:val="32"/>
          <w:szCs w:val="32"/>
          <w:highlight w:val="none"/>
          <w:lang w:eastAsia="zh-CN"/>
        </w:rPr>
        <w:t xml:space="preserve"> </w:t>
      </w:r>
    </w:p>
    <w:p w14:paraId="7EFBA820">
      <w:pPr>
        <w:spacing w:line="360" w:lineRule="auto"/>
        <w:ind w:firstLine="773" w:firstLineChars="350"/>
        <w:jc w:val="both"/>
        <w:rPr>
          <w:rFonts w:hint="eastAsia" w:ascii="宋体" w:hAnsi="宋体" w:cs="Times New Roman"/>
          <w:b/>
          <w:bCs/>
          <w:color w:val="auto"/>
          <w:highlight w:val="none"/>
          <w:lang w:eastAsia="zh-CN"/>
        </w:rPr>
      </w:pPr>
    </w:p>
    <w:p w14:paraId="3F5D129E">
      <w:pPr>
        <w:spacing w:line="360" w:lineRule="auto"/>
        <w:jc w:val="both"/>
        <w:rPr>
          <w:rFonts w:hint="eastAsia" w:ascii="宋体" w:hAnsi="宋体" w:cs="Times New Roman"/>
          <w:b/>
          <w:bCs/>
          <w:color w:val="auto"/>
          <w:highlight w:val="none"/>
          <w:lang w:eastAsia="zh-CN"/>
        </w:rPr>
      </w:pPr>
    </w:p>
    <w:p w14:paraId="1DE0FD14">
      <w:pPr>
        <w:spacing w:line="360" w:lineRule="auto"/>
        <w:jc w:val="both"/>
        <w:rPr>
          <w:rFonts w:hint="eastAsia" w:ascii="宋体" w:hAnsi="宋体" w:cs="Times New Roman"/>
          <w:b/>
          <w:bCs/>
          <w:color w:val="auto"/>
          <w:highlight w:val="none"/>
          <w:lang w:eastAsia="zh-CN"/>
        </w:rPr>
      </w:pPr>
    </w:p>
    <w:p w14:paraId="355E6014">
      <w:pPr>
        <w:spacing w:line="360" w:lineRule="auto"/>
        <w:ind w:firstLine="361" w:firstLineChars="150"/>
        <w:jc w:val="both"/>
        <w:rPr>
          <w:rFonts w:hint="eastAsia" w:ascii="宋体" w:hAnsi="宋体" w:cs="Times New Roman"/>
          <w:b/>
          <w:bCs/>
          <w:color w:val="auto"/>
          <w:sz w:val="24"/>
          <w:highlight w:val="none"/>
          <w:lang w:eastAsia="zh-CN"/>
        </w:rPr>
      </w:pPr>
    </w:p>
    <w:p w14:paraId="4201D3A1">
      <w:pPr>
        <w:spacing w:line="360" w:lineRule="auto"/>
        <w:ind w:firstLine="361" w:firstLineChars="150"/>
        <w:jc w:val="both"/>
        <w:rPr>
          <w:rFonts w:hint="eastAsia" w:ascii="宋体" w:hAnsi="宋体" w:cs="Times New Roman"/>
          <w:b/>
          <w:bCs/>
          <w:color w:val="auto"/>
          <w:sz w:val="24"/>
          <w:highlight w:val="none"/>
          <w:lang w:eastAsia="zh-CN"/>
        </w:rPr>
      </w:pPr>
      <w:r>
        <w:rPr>
          <w:rFonts w:hint="eastAsia" w:ascii="宋体" w:hAnsi="宋体" w:cs="Times New Roman"/>
          <w:b/>
          <w:bCs/>
          <w:color w:val="auto"/>
          <w:sz w:val="24"/>
          <w:highlight w:val="none"/>
          <w:lang w:eastAsia="zh-CN"/>
        </w:rPr>
        <w:t xml:space="preserve">         </w:t>
      </w:r>
    </w:p>
    <w:p w14:paraId="6DE645BA">
      <w:pPr>
        <w:spacing w:line="360" w:lineRule="auto"/>
        <w:ind w:firstLine="361" w:firstLineChars="150"/>
        <w:jc w:val="both"/>
        <w:rPr>
          <w:rFonts w:hint="eastAsia" w:ascii="宋体" w:hAnsi="宋体" w:cs="Times New Roman"/>
          <w:b/>
          <w:bCs/>
          <w:color w:val="auto"/>
          <w:sz w:val="24"/>
          <w:highlight w:val="none"/>
          <w:u w:val="single"/>
          <w:lang w:eastAsia="zh-CN"/>
        </w:rPr>
      </w:pPr>
      <w:r>
        <w:rPr>
          <w:rFonts w:hint="eastAsia" w:ascii="宋体" w:hAnsi="宋体" w:cs="Times New Roman"/>
          <w:b/>
          <w:bCs/>
          <w:color w:val="auto"/>
          <w:sz w:val="24"/>
          <w:highlight w:val="none"/>
          <w:lang w:eastAsia="zh-CN"/>
        </w:rPr>
        <w:t xml:space="preserve">         委托方（甲方）：</w:t>
      </w:r>
      <w:r>
        <w:rPr>
          <w:rFonts w:hint="eastAsia" w:ascii="宋体" w:hAnsi="宋体" w:cs="Times New Roman"/>
          <w:b/>
          <w:bCs/>
          <w:color w:val="auto"/>
          <w:sz w:val="24"/>
          <w:highlight w:val="none"/>
          <w:u w:val="single"/>
          <w:lang w:eastAsia="zh-CN"/>
        </w:rPr>
        <w:t>铜川市数据中心</w:t>
      </w:r>
    </w:p>
    <w:p w14:paraId="773D9967">
      <w:pPr>
        <w:spacing w:line="360" w:lineRule="auto"/>
        <w:ind w:firstLine="1446" w:firstLineChars="600"/>
        <w:rPr>
          <w:rFonts w:hint="eastAsia" w:ascii="宋体" w:hAnsi="宋体" w:cs="Times New Roman"/>
          <w:b/>
          <w:bCs/>
          <w:color w:val="auto"/>
          <w:sz w:val="24"/>
          <w:highlight w:val="none"/>
          <w:lang w:eastAsia="zh-CN"/>
        </w:rPr>
      </w:pPr>
    </w:p>
    <w:p w14:paraId="5D4EAA13">
      <w:pPr>
        <w:spacing w:line="360" w:lineRule="auto"/>
        <w:ind w:firstLine="1446" w:firstLineChars="600"/>
        <w:rPr>
          <w:rFonts w:hint="eastAsia" w:ascii="宋体" w:hAnsi="宋体" w:cs="Times New Roman"/>
          <w:b/>
          <w:bCs/>
          <w:color w:val="auto"/>
          <w:sz w:val="24"/>
          <w:highlight w:val="none"/>
          <w:u w:val="single"/>
          <w:lang w:eastAsia="zh-CN"/>
        </w:rPr>
      </w:pPr>
      <w:r>
        <w:rPr>
          <w:rFonts w:hint="eastAsia" w:ascii="宋体" w:hAnsi="宋体" w:cs="Times New Roman"/>
          <w:b/>
          <w:bCs/>
          <w:color w:val="auto"/>
          <w:sz w:val="24"/>
          <w:highlight w:val="none"/>
          <w:lang w:eastAsia="zh-CN"/>
        </w:rPr>
        <w:t>受托方（乙方）：</w:t>
      </w:r>
      <w:r>
        <w:rPr>
          <w:rFonts w:hint="eastAsia" w:ascii="宋体" w:hAnsi="宋体" w:cs="Times New Roman"/>
          <w:b/>
          <w:bCs/>
          <w:color w:val="auto"/>
          <w:sz w:val="24"/>
          <w:highlight w:val="none"/>
          <w:u w:val="single"/>
          <w:lang w:eastAsia="zh-CN"/>
        </w:rPr>
        <w:t xml:space="preserve">              </w:t>
      </w:r>
    </w:p>
    <w:p w14:paraId="30860035">
      <w:pPr>
        <w:spacing w:line="360" w:lineRule="auto"/>
        <w:ind w:firstLine="1446" w:firstLineChars="600"/>
        <w:rPr>
          <w:rFonts w:hint="eastAsia" w:ascii="宋体" w:hAnsi="宋体" w:cs="Times New Roman"/>
          <w:b/>
          <w:bCs/>
          <w:color w:val="auto"/>
          <w:sz w:val="24"/>
          <w:highlight w:val="none"/>
          <w:lang w:eastAsia="zh-CN"/>
        </w:rPr>
      </w:pPr>
    </w:p>
    <w:p w14:paraId="60198EB1">
      <w:pPr>
        <w:spacing w:line="360" w:lineRule="auto"/>
        <w:ind w:firstLine="1446" w:firstLineChars="600"/>
        <w:rPr>
          <w:rFonts w:hint="eastAsia" w:ascii="宋体" w:hAnsi="宋体" w:cs="Times New Roman"/>
          <w:b/>
          <w:bCs/>
          <w:color w:val="auto"/>
          <w:sz w:val="24"/>
          <w:highlight w:val="none"/>
          <w:lang w:eastAsia="zh-CN"/>
        </w:rPr>
      </w:pPr>
    </w:p>
    <w:p w14:paraId="121033AB">
      <w:pPr>
        <w:spacing w:line="360" w:lineRule="auto"/>
        <w:ind w:firstLine="1446" w:firstLineChars="600"/>
        <w:rPr>
          <w:rFonts w:hint="eastAsia" w:ascii="宋体" w:hAnsi="宋体" w:cs="Times New Roman"/>
          <w:b/>
          <w:bCs/>
          <w:color w:val="auto"/>
          <w:sz w:val="24"/>
          <w:highlight w:val="none"/>
          <w:lang w:eastAsia="zh-CN"/>
        </w:rPr>
      </w:pPr>
    </w:p>
    <w:p w14:paraId="2B45F142">
      <w:pPr>
        <w:spacing w:line="360" w:lineRule="auto"/>
        <w:ind w:firstLine="1446" w:firstLineChars="600"/>
        <w:rPr>
          <w:rFonts w:hint="eastAsia" w:ascii="宋体" w:hAnsi="宋体" w:cs="Times New Roman"/>
          <w:b/>
          <w:bCs/>
          <w:color w:val="auto"/>
          <w:sz w:val="24"/>
          <w:highlight w:val="none"/>
          <w:lang w:eastAsia="zh-CN"/>
        </w:rPr>
      </w:pPr>
    </w:p>
    <w:p w14:paraId="72970B51">
      <w:pPr>
        <w:spacing w:line="360" w:lineRule="auto"/>
        <w:ind w:firstLine="1446" w:firstLineChars="600"/>
        <w:rPr>
          <w:rFonts w:hint="eastAsia" w:ascii="宋体" w:hAnsi="宋体" w:cs="Times New Roman"/>
          <w:b/>
          <w:bCs/>
          <w:color w:val="auto"/>
          <w:sz w:val="24"/>
          <w:highlight w:val="none"/>
          <w:lang w:eastAsia="zh-CN"/>
        </w:rPr>
      </w:pPr>
    </w:p>
    <w:p w14:paraId="32AF2FCE">
      <w:pPr>
        <w:spacing w:line="360" w:lineRule="auto"/>
        <w:jc w:val="center"/>
        <w:rPr>
          <w:rFonts w:hint="eastAsia" w:ascii="宋体" w:hAnsi="宋体" w:cs="Times New Roman"/>
          <w:b/>
          <w:bCs/>
          <w:color w:val="auto"/>
          <w:sz w:val="24"/>
          <w:highlight w:val="none"/>
          <w:lang w:eastAsia="zh-CN"/>
        </w:rPr>
      </w:pPr>
      <w:r>
        <w:rPr>
          <w:rFonts w:hint="eastAsia" w:ascii="宋体" w:hAnsi="宋体" w:cs="Times New Roman"/>
          <w:b/>
          <w:bCs/>
          <w:color w:val="auto"/>
          <w:sz w:val="24"/>
          <w:highlight w:val="none"/>
          <w:lang w:eastAsia="zh-CN"/>
        </w:rPr>
        <w:t>签订地点：陕西铜川</w:t>
      </w:r>
    </w:p>
    <w:p w14:paraId="447558A5">
      <w:pPr>
        <w:spacing w:line="360" w:lineRule="auto"/>
        <w:ind w:firstLine="1446" w:firstLineChars="600"/>
        <w:jc w:val="center"/>
        <w:rPr>
          <w:rFonts w:hint="eastAsia" w:ascii="宋体" w:hAnsi="宋体" w:cs="Times New Roman"/>
          <w:b/>
          <w:bCs/>
          <w:color w:val="auto"/>
          <w:sz w:val="24"/>
          <w:highlight w:val="none"/>
          <w:lang w:eastAsia="zh-CN"/>
        </w:rPr>
      </w:pPr>
    </w:p>
    <w:p w14:paraId="4FC77C48">
      <w:pPr>
        <w:spacing w:line="360" w:lineRule="auto"/>
        <w:jc w:val="center"/>
        <w:rPr>
          <w:rFonts w:hint="eastAsia" w:ascii="宋体" w:hAnsi="宋体" w:cs="Times New Roman"/>
          <w:b/>
          <w:bCs/>
          <w:color w:val="auto"/>
          <w:sz w:val="24"/>
          <w:highlight w:val="none"/>
          <w:lang w:eastAsia="zh-CN"/>
        </w:rPr>
      </w:pPr>
      <w:r>
        <w:rPr>
          <w:rFonts w:hint="eastAsia" w:ascii="宋体" w:hAnsi="宋体" w:cs="Times New Roman"/>
          <w:b/>
          <w:bCs/>
          <w:color w:val="auto"/>
          <w:sz w:val="24"/>
          <w:highlight w:val="none"/>
          <w:lang w:eastAsia="zh-CN"/>
        </w:rPr>
        <w:t>签订时间：202</w:t>
      </w:r>
      <w:r>
        <w:rPr>
          <w:rFonts w:hint="eastAsia" w:ascii="宋体" w:hAnsi="宋体" w:cs="Times New Roman"/>
          <w:b/>
          <w:bCs/>
          <w:color w:val="auto"/>
          <w:sz w:val="24"/>
          <w:highlight w:val="none"/>
          <w:lang w:val="en-US" w:eastAsia="zh-CN"/>
        </w:rPr>
        <w:t>6</w:t>
      </w:r>
      <w:r>
        <w:rPr>
          <w:rFonts w:hint="eastAsia" w:ascii="宋体" w:hAnsi="宋体" w:cs="Times New Roman"/>
          <w:b/>
          <w:bCs/>
          <w:color w:val="auto"/>
          <w:sz w:val="24"/>
          <w:highlight w:val="none"/>
          <w:lang w:eastAsia="zh-CN"/>
        </w:rPr>
        <w:t>年   月   日</w:t>
      </w:r>
    </w:p>
    <w:p w14:paraId="388966F0">
      <w:pPr>
        <w:spacing w:line="480" w:lineRule="auto"/>
        <w:ind w:firstLine="420" w:firstLineChars="200"/>
        <w:jc w:val="both"/>
        <w:rPr>
          <w:rFonts w:hint="eastAsia" w:asciiTheme="minorEastAsia" w:hAnsiTheme="minorEastAsia" w:eastAsiaTheme="minorEastAsia" w:cstheme="minorEastAsia"/>
          <w:color w:val="auto"/>
          <w:sz w:val="21"/>
          <w:szCs w:val="21"/>
          <w:highlight w:val="none"/>
          <w:lang w:eastAsia="zh-CN"/>
        </w:rPr>
        <w:sectPr>
          <w:pgSz w:w="11906" w:h="16838"/>
          <w:pgMar w:top="1440" w:right="1800" w:bottom="1440" w:left="1800" w:header="851" w:footer="992" w:gutter="0"/>
          <w:cols w:space="425" w:num="1"/>
          <w:docGrid w:type="lines" w:linePitch="312" w:charSpace="0"/>
        </w:sectPr>
      </w:pPr>
    </w:p>
    <w:p w14:paraId="74B4BD84">
      <w:pPr>
        <w:keepNext w:val="0"/>
        <w:keepLines w:val="0"/>
        <w:pageBreakBefore w:val="0"/>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委托方（甲方）：铜川市数据中心</w:t>
      </w:r>
    </w:p>
    <w:p w14:paraId="5D46DBB8">
      <w:pPr>
        <w:keepNext w:val="0"/>
        <w:keepLines w:val="0"/>
        <w:pageBreakBefore w:val="0"/>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受托方（乙方）：</w:t>
      </w:r>
    </w:p>
    <w:p w14:paraId="5A6826A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甲方委托乙方承担</w:t>
      </w:r>
      <w:r>
        <w:rPr>
          <w:rFonts w:hint="eastAsia" w:ascii="宋体" w:hAnsi="宋体" w:eastAsia="宋体" w:cs="宋体"/>
          <w:color w:val="auto"/>
          <w:sz w:val="21"/>
          <w:szCs w:val="21"/>
          <w:highlight w:val="none"/>
          <w:u w:val="single"/>
          <w:lang w:eastAsia="zh-CN"/>
        </w:rPr>
        <w:t xml:space="preserve"> 铜川市一体化政务大数据平台暨数据安全底座项目</w:t>
      </w:r>
      <w:r>
        <w:rPr>
          <w:rFonts w:hint="eastAsia" w:ascii="宋体" w:hAnsi="宋体" w:eastAsia="宋体" w:cs="宋体"/>
          <w:color w:val="auto"/>
          <w:sz w:val="21"/>
          <w:szCs w:val="21"/>
          <w:highlight w:val="none"/>
          <w:lang w:eastAsia="zh-CN"/>
        </w:rPr>
        <w:t>，经双方协商一致，签订本合同。</w:t>
      </w:r>
    </w:p>
    <w:p w14:paraId="49571580">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第一条 本合同依据下列文件签订：</w:t>
      </w:r>
    </w:p>
    <w:p w14:paraId="7062C2FB">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1.1《中华人民共和国民法典》；</w:t>
      </w:r>
    </w:p>
    <w:p w14:paraId="374A87AA">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1.2招标文件、投标文件、中标通知书等。</w:t>
      </w:r>
    </w:p>
    <w:p w14:paraId="1924293F">
      <w:pPr>
        <w:pStyle w:val="7"/>
        <w:keepNext w:val="0"/>
        <w:keepLines w:val="0"/>
        <w:pageBreakBefore w:val="0"/>
        <w:kinsoku/>
        <w:wordWrap/>
        <w:overflowPunct/>
        <w:topLinePunct w:val="0"/>
        <w:autoSpaceDE/>
        <w:autoSpaceDN/>
        <w:bidi w:val="0"/>
        <w:adjustRightInd/>
        <w:snapToGrid/>
        <w:spacing w:line="480" w:lineRule="auto"/>
        <w:ind w:left="0"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第二条 项目概况</w:t>
      </w:r>
    </w:p>
    <w:p w14:paraId="1D9C1BF6">
      <w:pPr>
        <w:pStyle w:val="10"/>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本次项目内容主要包括：一体化政务大数据平台暨数据安全底座，包括数据服务门户、数据目录系统、数据供需系统、数据交换系统、数据治理系统、数据处理分析系统、数据共享系统、数据开放系统、数据级联系统、数据直达系统10个子系统；</w:t>
      </w:r>
      <w:r>
        <w:rPr>
          <w:rFonts w:hint="eastAsia" w:ascii="宋体" w:hAnsi="宋体" w:eastAsia="宋体" w:cs="宋体"/>
          <w:color w:val="auto"/>
          <w:sz w:val="21"/>
          <w:szCs w:val="21"/>
          <w:highlight w:val="none"/>
          <w:u w:val="none"/>
          <w:lang w:val="en-US" w:eastAsia="zh-CN"/>
        </w:rPr>
        <w:t>打造四个场景</w:t>
      </w:r>
      <w:r>
        <w:rPr>
          <w:rFonts w:hint="eastAsia" w:ascii="宋体" w:hAnsi="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none"/>
          <w:lang w:eastAsia="zh-CN"/>
        </w:rPr>
        <w:t>数据安全建设依托铜川市政务云资源，基于可信数据空间底座，聚焦数据安全防护能力，为铜川市搭建全方位的数据安全综合保障体系，涵盖数据安全管理体系、数据安全技术体系和数据安全服务体系，实现跨系统、跨部门、跨层级政务数据高质量安全供给，支撑政务数据资源高效应用，充分发挥数据要素乘数效应；网络安全升级优化，梳理网络拓扑，针对网络安全运行态势全面感知，形成防御、检测、响应的完整闭环，监测预警、分析研判、响应处置，联动指挥的多元化服务，为公共数据授权运营做好支撑</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none"/>
          <w:lang w:eastAsia="zh-CN"/>
        </w:rPr>
        <w:t>实现监管单位对辖区网络安全空间的全面掌控与管理。</w:t>
      </w:r>
    </w:p>
    <w:p w14:paraId="47303860">
      <w:pPr>
        <w:keepNext w:val="0"/>
        <w:keepLines w:val="0"/>
        <w:pageBreakBefore w:val="0"/>
        <w:numPr>
          <w:ilvl w:val="0"/>
          <w:numId w:val="1"/>
        </w:numPr>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合同履行期限：</w:t>
      </w:r>
    </w:p>
    <w:p w14:paraId="4DFB119E">
      <w:pPr>
        <w:pStyle w:val="2"/>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    建设周期：合同签订之日起1年</w:t>
      </w:r>
    </w:p>
    <w:p w14:paraId="741BBFC7">
      <w:pPr>
        <w:pStyle w:val="1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服务期限：自合同签订之日起至3年。</w:t>
      </w:r>
    </w:p>
    <w:p w14:paraId="4D57CEBD">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第四条 合同费用及支付方式</w:t>
      </w:r>
    </w:p>
    <w:p w14:paraId="41A9194E">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4.1、本项目为固定总价：</w:t>
      </w:r>
    </w:p>
    <w:p w14:paraId="21A646B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经双方商定，本合同的费用计人民币</w:t>
      </w:r>
      <w:r>
        <w:rPr>
          <w:rFonts w:hint="eastAsia" w:ascii="宋体" w:hAnsi="宋体" w:eastAsia="宋体" w:cs="宋体"/>
          <w:color w:val="auto"/>
          <w:sz w:val="21"/>
          <w:szCs w:val="21"/>
          <w:highlight w:val="none"/>
          <w:u w:val="single"/>
          <w:lang w:eastAsia="zh-CN"/>
        </w:rPr>
        <w:t xml:space="preserve">        元(大写：        整)</w:t>
      </w:r>
      <w:r>
        <w:rPr>
          <w:rFonts w:hint="eastAsia" w:ascii="宋体" w:hAnsi="宋体" w:eastAsia="宋体" w:cs="宋体"/>
          <w:color w:val="auto"/>
          <w:sz w:val="21"/>
          <w:szCs w:val="21"/>
          <w:highlight w:val="none"/>
          <w:lang w:eastAsia="zh-CN"/>
        </w:rPr>
        <w:t>，合同总价包括人工费、交通住宿费、差旅费、会议费、咨询费、劳务费、管理费、税金等与履行本合同相关的所有费用。</w:t>
      </w:r>
    </w:p>
    <w:p w14:paraId="37A9652F">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4.2、支付方式：</w:t>
      </w:r>
    </w:p>
    <w:p w14:paraId="55535950">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合同签订后，乙方提交符合甲方要求的服务方案、项目团队配置证明及相关资质文件，经甲方审核通过（审核期限不超过5个工作日）后，即视为具备服务能力，达到付款条件。甲方应在付款条件达到后10个工作日内，支付合同总金额的30.00%。</w:t>
      </w:r>
    </w:p>
    <w:p w14:paraId="3F4B03C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本项目乙方完成合同约定所有事项的100%，并提交项目交付报告后，经甲方初步验收合格（初验标准详见本合同第八条约定），达到付款条件。甲方应在付款条件达成后30个工作日内支付合同总金额的40.00%。</w:t>
      </w:r>
    </w:p>
    <w:p w14:paraId="4D18C01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本项目所有服务内容完成或服务期满12个月（后，由数据局会同市级政务信息化项目协同管理机制成员单位统一组织终验。终验合格并出具验收报告后，达到付款条件。甲方应在付款条件达成后30个工作日内，支付合同总金额的30.00%。</w:t>
      </w:r>
    </w:p>
    <w:p w14:paraId="178FFA5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每次付款前，乙方应当首先提供与本次付款金额相等的合法税票。否则，采购人的付款义务不发生，且不得因此延误合同的正常履行。遇有财政拨款迟延到位的，付款时间在约定基础上自动调整为财政拨款到位后5个工作日内支付。</w:t>
      </w:r>
    </w:p>
    <w:p w14:paraId="710C36AB">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第五条  双方责任</w:t>
      </w:r>
    </w:p>
    <w:p w14:paraId="5F3AF54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5.1 甲方责任</w:t>
      </w:r>
    </w:p>
    <w:p w14:paraId="0DD30473">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5.1.1甲方向乙方提交所需资料及文件，并对其完整性、正确性、及时性负责，甲方不得要求乙方违法国家有关标准进行开发。</w:t>
      </w:r>
    </w:p>
    <w:p w14:paraId="7A51BE3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5.1.2甲方应积极配合乙方在交货及服务期间的协调联络工作。</w:t>
      </w:r>
    </w:p>
    <w:p w14:paraId="7E1B565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 5.1.3 甲方应保护乙方的投标书、成果方案、文件、数据、计算软件和专利技术。未经乙方同意，甲方对乙方交付的成果资料及文件不得擅自修改，复制或向第三人转让或用于本合同外的项目，如发生以上情况，甲方应负法律责任，乙方有权向甲方提出索赔。</w:t>
      </w:r>
    </w:p>
    <w:p w14:paraId="308D191B">
      <w:pPr>
        <w:pStyle w:val="8"/>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5.1.4 甲方应按本合同约定的金额和日期向乙方支付合同费用。</w:t>
      </w:r>
    </w:p>
    <w:p w14:paraId="424C9B6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 乙方责任</w:t>
      </w:r>
    </w:p>
    <w:p w14:paraId="577B1FE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5.2.1 乙方按照国家技术规范、标准、规程、设计及甲方提出的项目要求，进行研究和评估，按合同规定的进度要求提交质量合格的成果资料，并对其负责。</w:t>
      </w:r>
    </w:p>
    <w:p w14:paraId="0348581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5.2.2 乙方交付产品后，按规定参加有关的成果审查，并根据审查结论负责对不超出原定范围的内容做出必要的调整及补充。乙方按合同规定时限交付成果。</w:t>
      </w:r>
    </w:p>
    <w:p w14:paraId="28FA9F7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5.2.3 乙方应保护甲方的知识产权，不得向第三人泄漏、转让甲方提交的技术资料。如发生以上情况并给甲方造成经济损失，甲方有权向乙方索赔。</w:t>
      </w:r>
    </w:p>
    <w:p w14:paraId="677EF4A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5.2.4 乙方承担本项目实施过程中的所有对接、沟通事宜。</w:t>
      </w:r>
    </w:p>
    <w:p w14:paraId="7E288E92">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第六条  违约责任</w:t>
      </w:r>
    </w:p>
    <w:p w14:paraId="10B8F31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采购人违约责任</w:t>
      </w:r>
    </w:p>
    <w:p w14:paraId="798038CD">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 无正当理由拒收服务项目：采购人无正当理由拒收服务的，应偿付合同总价一定比例的违约金：5%。</w:t>
      </w:r>
    </w:p>
    <w:p w14:paraId="2F8A2CE3">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6.2 逾期支付款项：采购人逾期支付服务合同款项的，除应及时付足合同款项外，还应以欠款金额为基数，按全国银行间同业拆借中心公布的一年期贷款市场报价利率项供应商支付违约金。逾期满90日的，供应商有权终止合同。</w:t>
      </w:r>
    </w:p>
    <w:p w14:paraId="08CB4F8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6.3提前终止合同：合同签订后，由于采购人原因提前终止合同的，采购人应按已完成的工作量全额支付供应商费用。</w:t>
      </w:r>
    </w:p>
    <w:p w14:paraId="07013A9D">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供应商违约责任</w:t>
      </w:r>
    </w:p>
    <w:p w14:paraId="501715E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6.4擅自中途停止或解除合同：合同签订后，如供应商擅自中途停止或解除合同，应向采购人支付合同总价5%的违约金，并退还采购人已经支付的相关费用，同时赔偿采购人因此造成的直接损失。</w:t>
      </w:r>
    </w:p>
    <w:p w14:paraId="3BABA16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6.5.逾期提供服务：供应商不能按时提供服务或逾期提供服务的，除应及时提供服务外，应向采购人偿付逾期提供部分服务总额万分之五/天的违约金；逾期超过30日的，采购人有权终止合同，供应商应按合同总价5%向采购人偿付违约金，并全额退还采购人已付服务费及同期LPR贷款利率计算的双倍利息。</w:t>
      </w:r>
    </w:p>
    <w:p w14:paraId="07E6460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6.6.服务质量不合格：供应商提供的质量不合格（如不符合政策要求、数据错误、内容漏项等）的，应负责返工或采取补救措施，直至达到质量要求，产生的费用由供应商承担；若逾期未整改达标或整改后仍不合格的，供应商应对由此造成的全部损失负赔偿责任，并承担相应法律责任，采购人有权酌情扣减合同总价10%-30%的款项。</w:t>
      </w:r>
    </w:p>
    <w:p w14:paraId="7A388B9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6.7.瑕疵履行合同：供应商瑕疵履行采购合同（如格式不规范、交付内容不足、技术咨询响应不及时等非根本性违约情形）的，采购人有权要求供应商赔偿合同总价款5%的违约金；若造成相关损失的，供应商需承担全部赔偿责任，且需在采购人规定时限内整改到位。</w:t>
      </w:r>
    </w:p>
    <w:p w14:paraId="4259077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6.8．供应商提供的服务质量不符合合同约定及技术标准的，应在采购人规定的时限内（最长不超过3个工作日）完成整改。整改后经验收合格的，不扣减合同款项；若第一次整改不合格，扣减合同总价10%；第二次整改仍不合格，扣减合同总价20%；第三次整改仍未达标的，采购人有权书面通知供应商解除合同，供应商应在合同解除后10日内退还采购人已支付的全部款项，并支付同总价30%的违约金及采购人因此造成的直接损失（包括但不限于重新采购的差价、停工损失等）。</w:t>
      </w:r>
    </w:p>
    <w:p w14:paraId="0517BAFD">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扣减比例的判定由采购人组织3名及以上行业专家依据验收报告确定，具体扣减金额=合同总价×对应扣减比例，扣减款项从尚未支付的合同款中直接抵扣。</w:t>
      </w:r>
    </w:p>
    <w:p w14:paraId="1D7C83E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p>
    <w:p w14:paraId="795D2671">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第七条、保密条款</w:t>
      </w:r>
    </w:p>
    <w:p w14:paraId="1EA21D66">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7.1.双方确定因履行本合同应遵守的保密义务如下：</w:t>
      </w:r>
    </w:p>
    <w:p w14:paraId="7381875E">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甲方：</w:t>
      </w:r>
    </w:p>
    <w:p w14:paraId="5CC85B4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（1）保密内容(包括技术信息和经营信息)：甲方因履行本合同而知悉乙方的商业秘密和进行项目开发所采用的非公开性的技术方案及相关技术路线、信息、细节、参数、资料;</w:t>
      </w:r>
    </w:p>
    <w:p w14:paraId="04EA8BA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（2）涉密人员范围：参与配合委托项目研究的人员；</w:t>
      </w:r>
    </w:p>
    <w:p w14:paraId="1AC2771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（3）保密期限：合同签订后至项目服务期结束；</w:t>
      </w:r>
    </w:p>
    <w:p w14:paraId="113209C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（4）泄密责任：甲方泄露其掌握的乙方技术信息和经营信息而导致技术开发失败的，须赔偿由此给乙方造成的损失。</w:t>
      </w:r>
    </w:p>
    <w:p w14:paraId="71A20CB8">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乙方：</w:t>
      </w:r>
    </w:p>
    <w:p w14:paraId="2A3C093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保密内容：在合同商谈、研究开发过程中，了解和掌握甲方的技术信息（包括但不限于现有系统架构、数据标准、业务流程、未公开的技术文档等）、客户信息、政务数据及其他需要保密的信息和资料，本合同内容，开发成果涉及的全部内容；</w:t>
      </w:r>
    </w:p>
    <w:p w14:paraId="338859E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（2）涉密人员范围：乙方在商谈和履行本合同过程中了解、掌握上述需要保密的信息和资料的所有人员；</w:t>
      </w:r>
    </w:p>
    <w:p w14:paraId="54EFCA2B">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（3）保密期限：合同签订后至甲方宣布解密；</w:t>
      </w:r>
    </w:p>
    <w:p w14:paraId="3B01F09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泄密责任：未经甲方书面许可，乙方不得将保密内容以任何方法途径传播给任何第三人，否则应赔偿甲方因此造成的直接经济损失；若损失难以计算的，赔偿金额按甲方因该保密信息产生的合理预期收益或乙方因泄密获得的利益确定，最低不低于合同总价的10%；因泄密事件导致甲方被上级通报批评或者引发舆情的，乙方应另行支付甲方二十万元的机关声誉损害赔偿金。</w:t>
      </w:r>
    </w:p>
    <w:p w14:paraId="26905F40">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资料保管：乙方应对甲方提供的资料等妥善保管，建立专门的保密档案管理机制；在合同履行过程中，如发现资料缺失或损毁时，应立即中止相关工作，并在24小时内书面通知甲方；工作完成后乙方应在10日内归还上述全部资料，不得擅自以任何形式留存（包括但不限于复印件、电子备份等）。</w:t>
      </w:r>
    </w:p>
    <w:p w14:paraId="1CD10DE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7.2.甲乙双方保证对在讨论、签订、执行本合同过程中所获悉的属于对方的且无法自公开渠道获得的文件及资料(包括行业秘密、单位计划、财务信息、技术信息及其他商业秘密)予以保密。未经该资料和文件的原提供方同意，另一方不得向任何第三方泄露该商业秘密的全部或部分内容。但法律、法规另有规定或双方另有约定的除外。</w:t>
      </w:r>
    </w:p>
    <w:p w14:paraId="1B31A1F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7.3.任何一方基于司法或其它国家机关的要求，提供上述保密内容的，应及时通知对方，同时以书面形式提示司法或其它国家机关注意保密。</w:t>
      </w:r>
    </w:p>
    <w:p w14:paraId="69DF61E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7.4.无论合同是否被撤销、变更、解除或终止，无论合同是否生效，本条款不受其限制而继续有效。</w:t>
      </w:r>
    </w:p>
    <w:p w14:paraId="2AFAA734">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第八条、验收</w:t>
      </w:r>
    </w:p>
    <w:p w14:paraId="0329E3B5">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供应商提出验收申请之日起30日内采购人组织验收，验收地点为采购人指定地点。</w:t>
      </w:r>
    </w:p>
    <w:p w14:paraId="0AEA765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8.1技术履约验收内容：</w:t>
      </w:r>
    </w:p>
    <w:p w14:paraId="201659F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服务期验收：根据本项目服务属性，按合同约定考核内容、标准，对服务期内实施情况进行验收。技术履约验收应依据本项目采购需求中的技术参数、国家相关技术标准（如《政务数据共享交换平台技术要求》《信息安全技术</w:t>
      </w:r>
      <w:bookmarkStart w:id="3" w:name="_GoBack"/>
      <w:bookmarkEnd w:id="3"/>
      <w:r>
        <w:rPr>
          <w:rFonts w:hint="eastAsia" w:ascii="宋体" w:hAnsi="宋体" w:eastAsia="宋体" w:cs="宋体"/>
          <w:color w:val="auto"/>
          <w:sz w:val="21"/>
          <w:szCs w:val="21"/>
          <w:highlight w:val="none"/>
          <w:lang w:eastAsia="zh-CN"/>
        </w:rPr>
        <w:t xml:space="preserve">网络安全等级保护基本要求》等）及双方确认的建设方案执行，具体验收指标包括但不限于： </w:t>
      </w:r>
    </w:p>
    <w:p w14:paraId="6B75CB33">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A．系统功能：所有子系统（数据服务门户、数据治理系统等10个子系统）及安全设备的功能需 100%满足采购需求中列明的参数要求，无功能缺失或无效功能。 </w:t>
      </w:r>
    </w:p>
    <w:p w14:paraId="047416D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B．性能指标：数据库加密网关加密速率不低于70000单元格/秒、防火墙吞吐量不低于10G等关键性能指标，需通过具备国家级检测资质的第三方机构检测或由甲方组织技术人员现场实测验证，达标率100%；。 </w:t>
      </w:r>
    </w:p>
    <w:p w14:paraId="59F0CC3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C．数据安全：敏感数据识别准确率不低于 99%，数据脱敏、加密功能符合国家密评要求，无数据泄露风险。 </w:t>
      </w:r>
    </w:p>
    <w:p w14:paraId="441D669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D．兼容性：系统需与铜川市现有政务云资源、相关业务系统实现无缝对接，兼容性达标率 100%。验收检测方法包括现场功能演示、性能压力测试、安全渗透测试等，由采购人组织专家及技术人员共同实施，形成书面检测报告，检测报告作为验收合格的核心依据。</w:t>
      </w:r>
    </w:p>
    <w:p w14:paraId="0728079E">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lang w:eastAsia="zh-CN"/>
          <w14:ligatures w14:val="standardContextual"/>
        </w:rPr>
        <w:t xml:space="preserve"> </w:t>
      </w:r>
      <w:r>
        <w:rPr>
          <w:rFonts w:hint="eastAsia" w:ascii="宋体" w:hAnsi="宋体" w:eastAsia="宋体" w:cs="宋体"/>
          <w:color w:val="auto"/>
          <w:sz w:val="21"/>
          <w:szCs w:val="21"/>
          <w:highlight w:val="none"/>
          <w:lang w:eastAsia="zh-CN"/>
        </w:rPr>
        <w:t>（2）验收结论形成：依据合同要求，综合实施情况以及服务效果，做出验收结论，并形成验收报告。验收报告需明确服务内容的完成情况、服务质量是否达标、服务过程中存在的问题及改进措施等内容，由验收人员签字确认并加盖甲方公章。</w:t>
      </w:r>
    </w:p>
    <w:p w14:paraId="68A42FD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验收不合格处理：若验收不合格，甲方应在验收结束后5个工作日内书面通知乙方，明确整改要求和期限（最长不超过15个工作日）；乙方完成整改后应重新提交验收申请，甲方应在收到申请后15日内组织二次验收；二次验收仍不合格的，按本合同第六条违约责任相关约定处理。</w:t>
      </w:r>
    </w:p>
    <w:p w14:paraId="0E1A120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8.2商务履约验收内容：</w:t>
      </w:r>
    </w:p>
    <w:p w14:paraId="1B54D9FE">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（1）合同基础信息核验</w:t>
      </w:r>
    </w:p>
    <w:p w14:paraId="5A7ABAF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①主体资质复查：重新审视供应商或服务提供商的主体资格，确保其在履约期间，营业执照、行业许可等关键资质始终有效且与投标时一致。</w:t>
      </w:r>
    </w:p>
    <w:p w14:paraId="282FF4FA">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②合同条款核对：逐字逐句比对实际履约情况与合同文本，涵盖交付时间节点、地点、金额、付款方式等核心条款。</w:t>
      </w:r>
    </w:p>
    <w:p w14:paraId="4A6033A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③变更手续审查：若在履约进程中有合同变更，需查验变更流程是否合规，变更协议是否经双方合法签署。</w:t>
      </w:r>
    </w:p>
    <w:p w14:paraId="4CF0679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（2）交付成果验收 </w:t>
      </w:r>
    </w:p>
    <w:p w14:paraId="4094161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服务类成果：对于项目建设内容、培训服务等，依据服务方案评估服务质量等。供应商应在验收时提交完整的交付成果清单，包括但不限于： </w:t>
      </w:r>
    </w:p>
    <w:p w14:paraId="388C2FE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A. 技术文档：系统架构设计说明书、数据库设计说明书、用户操作手册、运维手册、源代码及编译文件等，文档需符合国家相关技术规范格式要求。 </w:t>
      </w:r>
    </w:p>
    <w:p w14:paraId="4BD55A5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B. 硬件设备：所有采购的安全设备（防火墙系统、网络入侵防护系统等）及配件，附带出厂合格证、检测报告、3年质保凭证等，设备型号、参数需与合同约定一致。 </w:t>
      </w:r>
    </w:p>
    <w:p w14:paraId="4637413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C. 服务成果：数据分类分级报告、数据安全风险评估报告、培训记录（含培训视频、课件、学员签到表及考核成绩）、驻场服务记录（需甲方签字确认）等。 </w:t>
      </w:r>
    </w:p>
    <w:p w14:paraId="1FAB666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D. 验收资料：项目竣工报告、自检报告、第三方检测报告（如有）、成果试用报告（试用期限不少于30日，需甲方出具试用意见）等。交付成果需经采购人逐一核对，确保齐全、完整、有效，缺少任何一项或不符合要求的，均视为验收不合格，供应商需在5个工作日内补齐或整改。</w:t>
      </w:r>
    </w:p>
    <w:p w14:paraId="57AE246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（3）质量与技术标准把关</w:t>
      </w:r>
    </w:p>
    <w:p w14:paraId="2E9104B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①质量体系核查：审查供应商是否遵循既定质量控制体系开展工作，有无质量记录及问题处理机制。</w:t>
      </w:r>
    </w:p>
    <w:p w14:paraId="71F7E79B">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②技术指标验证：借助专业检测设备、行业专家评估等手段，验证交付成果的技术指标达标情况。</w:t>
      </w:r>
    </w:p>
    <w:p w14:paraId="56206B97">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③安全与合规性审查：确保交付成果满足国家信息安全规范及数字领域相关法律法规要求。</w:t>
      </w:r>
    </w:p>
    <w:p w14:paraId="1272771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（4）伴随服务验收</w:t>
      </w:r>
    </w:p>
    <w:p w14:paraId="497CE71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①培训服务确认：查看培训计划执行状况，包括培训次数、时长、内容及学员掌握程度。</w:t>
      </w:r>
    </w:p>
    <w:p w14:paraId="2BCDCA6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②售后服务评估：考察售后服务响应时间、问题解决效率、保修期限及范围。 </w:t>
      </w:r>
    </w:p>
    <w:p w14:paraId="55A40CF0">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A．售后售后服务机构应为供应商在本地的直属分支机构或授权合作机构，配备3名以上具备本项目相关技术资质（如网络安全工程师、数据库工程师等）的运维人员需，并在合同履行期间保持人员稳定，未经采购人同意不得擅自更换。 </w:t>
      </w:r>
    </w:p>
    <w:p w14:paraId="0A7DD380">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B.遇有需要提供售后服务问题，供应商应当在采购人提出通知后 2 小时内抵达现场提供服务，并在 4 个小时内将问题处理终结。</w:t>
      </w:r>
    </w:p>
    <w:p w14:paraId="3BB382BA">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C。保修期限三年，自双方签署验收合格报告的次日开始起算。 </w:t>
      </w:r>
    </w:p>
    <w:p w14:paraId="3AA4EEC6">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8.3技术支持服务核验：确认供应商在合同期内提供技术咨询、系统维护等支持服务的情况。</w:t>
      </w:r>
    </w:p>
    <w:p w14:paraId="48DAB4C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8.4履约验收标准：所有验收标准必须与合同条款（如服务范围、期限、质量承诺、交付物清单）一致，避免与合同约定冲突。</w:t>
      </w:r>
    </w:p>
    <w:p w14:paraId="76E292FB">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第九条、技术指导和培训</w:t>
      </w:r>
    </w:p>
    <w:p w14:paraId="3A527FF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9.1.双方约定，乙方应为甲方指定的人员提供技术指导和培训并提供培训资料；</w:t>
      </w:r>
    </w:p>
    <w:p w14:paraId="31E2CBD9">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9.2.地点和方式：甲方指定地点现场指导和培训；</w:t>
      </w:r>
    </w:p>
    <w:p w14:paraId="3D5173B1">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9.3.费用及支付方式：免费。</w:t>
      </w:r>
    </w:p>
    <w:p w14:paraId="4EDDEFE1">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第十条 法律适用和争议解决</w:t>
      </w:r>
    </w:p>
    <w:p w14:paraId="3F84712B">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10.1本合同适用中华人民共和国法律。</w:t>
      </w:r>
    </w:p>
    <w:p w14:paraId="0002C9AA">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10.2争议解决方法：</w:t>
      </w:r>
    </w:p>
    <w:p w14:paraId="2B129826">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①协商：双方应首先尝试通过友好协商的方式解决争议，明确各自的责任和义务，协商达成一致的解决方案，如继续履行合同、赔偿损失、变更合同条款等。</w:t>
      </w:r>
    </w:p>
    <w:p w14:paraId="4F3F6EA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②调解：如果双方协商不成，可以寻求第三方调解机构的帮助，如行业协会、商会等。调解机构会根据双方的情况进行调解，促使双方达成和解协议。 </w:t>
      </w:r>
    </w:p>
    <w:p w14:paraId="615C61DA">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③仲裁：提交铜川仲裁委员会适用该会的仲裁规则仲裁解决。</w:t>
      </w:r>
    </w:p>
    <w:p w14:paraId="76C74A10">
      <w:pPr>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第十一条、合同的变更和解除</w:t>
      </w:r>
    </w:p>
    <w:p w14:paraId="5B174F8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11.1.本合同的变更必须由双方协商一致，并以书面形式确定，一方可以向另一方提出变更合同权利与义务的请求，另一方应当在收到对方书面请求之日起的15个工作日内予以答复;逾期未予答复的，视为同意。</w:t>
      </w:r>
    </w:p>
    <w:p w14:paraId="04AC4F8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11.2.出现下列情形，致使本合同无法继续履行，甲乙双方可以在书面通知对方后解除本合同：</w:t>
      </w:r>
    </w:p>
    <w:p w14:paraId="5CA198CE">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11.2.1发生不可抗力或技术风险；</w:t>
      </w:r>
    </w:p>
    <w:p w14:paraId="4B87F14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11.2.2一方严重违约，致使合同目的不能实现；</w:t>
      </w:r>
    </w:p>
    <w:p w14:paraId="0507D00D">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11.3.甲方无正当理由不按期支付合同款项，经乙方催告后在内仍不支付的，乙方可以解除合同。</w:t>
      </w:r>
    </w:p>
    <w:p w14:paraId="6D66FFED">
      <w:pPr>
        <w:pStyle w:val="4"/>
        <w:keepNext w:val="0"/>
        <w:keepLines w:val="0"/>
        <w:pageBreakBefore w:val="0"/>
        <w:kinsoku/>
        <w:wordWrap/>
        <w:overflowPunct/>
        <w:topLinePunct w:val="0"/>
        <w:autoSpaceDE/>
        <w:autoSpaceDN/>
        <w:bidi w:val="0"/>
        <w:adjustRightInd/>
        <w:snapToGrid/>
        <w:spacing w:line="480" w:lineRule="auto"/>
        <w:ind w:firstLine="422"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b/>
          <w:bCs/>
          <w:color w:val="auto"/>
          <w:sz w:val="21"/>
          <w:szCs w:val="21"/>
          <w:highlight w:val="none"/>
          <w:u w:val="none"/>
          <w:lang w:eastAsia="zh-CN"/>
        </w:rPr>
        <w:t>第十二条：合同生效及其他：</w:t>
      </w:r>
      <w:r>
        <w:rPr>
          <w:rFonts w:hint="eastAsia" w:ascii="宋体" w:hAnsi="宋体" w:eastAsia="宋体" w:cs="宋体"/>
          <w:color w:val="auto"/>
          <w:sz w:val="21"/>
          <w:szCs w:val="21"/>
          <w:highlight w:val="none"/>
          <w:u w:val="none"/>
          <w:lang w:eastAsia="zh-CN"/>
        </w:rPr>
        <w:t xml:space="preserve"> </w:t>
      </w:r>
    </w:p>
    <w:p w14:paraId="64A20205">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12.1本合同自双方签字盖章之日起生效。</w:t>
      </w:r>
    </w:p>
    <w:p w14:paraId="2F1D5262">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12.2本合同一式[ 肆 ]份，甲乙双方各执[ 贰 ]份，具有同等法律效力。</w:t>
      </w:r>
    </w:p>
    <w:p w14:paraId="237005EE">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12.3如果本合同的任何条款在任何时候变成不合法、无效或不可强制执行而不从根本上影响本合同的效力时，本合同的其他条款不受影响。</w:t>
      </w:r>
    </w:p>
    <w:p w14:paraId="303C5B1F">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12.4本合同各条标题仅为提示之用，应以条文内容确定各方的权利义务。</w:t>
      </w:r>
    </w:p>
    <w:p w14:paraId="2A2FF210">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12.5未得到对方的书面许可，一方均不得以广告或在公共场合使用或摹仿对方的名称、商标、图案、服务标志、符号、代码、型号或缩写，任何一方均不得声称对对方的商业名称、商标、图案、服务标志、符号、代码、型号或缩写拥有所有权。</w:t>
      </w:r>
    </w:p>
    <w:p w14:paraId="2D7B41E8">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12.6本合同的任何内容不应被视为或解释为双方之间具有合资、合伙关系。</w:t>
      </w:r>
    </w:p>
    <w:p w14:paraId="67AF6B6C">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12.7本合同替代此前双方所有关于本合同事项的口头或书面的纪要、备忘录、合同和协议等法律文件。</w:t>
      </w:r>
    </w:p>
    <w:p w14:paraId="70C8C3DD">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12.8甲乙双方因履行本合同或与本合同有关的一切通知都必须按照本合同中的地址，以书面信函或者传真或者电子邮件方式进行。其中：</w:t>
      </w:r>
    </w:p>
    <w:p w14:paraId="0260A0C6">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12.8.1除本合同另有约定外，有关下述任一事项的通知，均应当采用书面信函形式作出，否则，该通知无效，不产生本合同项下的任何通知效力：</w:t>
      </w:r>
    </w:p>
    <w:p w14:paraId="71982866">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（1）与本合同费用及支付事宜有关的通知；</w:t>
      </w:r>
    </w:p>
    <w:p w14:paraId="6B451B2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（2）与本合同违约事宜有关的通知；</w:t>
      </w:r>
    </w:p>
    <w:p w14:paraId="6D961044">
      <w:pPr>
        <w:keepNext w:val="0"/>
        <w:keepLines w:val="0"/>
        <w:pageBreakBefore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（3）与本合同终止、解除或变更事宜有关的通知；</w:t>
      </w:r>
    </w:p>
    <w:p w14:paraId="31016D3B">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（4）与本合同延续/续展有关的通知；</w:t>
      </w:r>
    </w:p>
    <w:p w14:paraId="3AC011AC">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12.8.2本合同约定的各种通知方式的送达标准如下：</w:t>
      </w:r>
    </w:p>
    <w:p w14:paraId="414B767F">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（1）如采用书面信函形式，应当使用挂号信或者具有良好信誉的特快专递送达，接受方签收挂号信或特快专递的时间（以邮局或快递公司系统记录为准）为通知送达时间；</w:t>
      </w:r>
    </w:p>
    <w:p w14:paraId="72E46ECF">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（2）如采用传真方式，传真到达接受方指定传真系统的时间为通知送达时间；</w:t>
      </w:r>
    </w:p>
    <w:p w14:paraId="67881415">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（3）如采用电子邮件方式，电子邮件到达接受方指定电子邮箱的时间为通知送达时间。</w:t>
      </w:r>
    </w:p>
    <w:p w14:paraId="52360CC7">
      <w:pPr>
        <w:pStyle w:val="4"/>
        <w:keepNext w:val="0"/>
        <w:keepLines w:val="0"/>
        <w:pageBreakBefore w:val="0"/>
        <w:kinsoku/>
        <w:wordWrap/>
        <w:overflowPunct/>
        <w:topLinePunct w:val="0"/>
        <w:autoSpaceDE/>
        <w:autoSpaceDN/>
        <w:bidi w:val="0"/>
        <w:adjustRightInd/>
        <w:snapToGrid/>
        <w:spacing w:line="480" w:lineRule="auto"/>
        <w:ind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2DECD953">
      <w:pPr>
        <w:pStyle w:val="4"/>
        <w:spacing w:line="480" w:lineRule="auto"/>
        <w:ind w:firstLineChars="200"/>
        <w:rPr>
          <w:rFonts w:hint="eastAsia" w:asciiTheme="minorEastAsia" w:hAnsiTheme="minorEastAsia" w:eastAsiaTheme="minorEastAsia" w:cstheme="minorEastAsia"/>
          <w:color w:val="auto"/>
          <w:sz w:val="21"/>
          <w:szCs w:val="21"/>
          <w:highlight w:val="none"/>
          <w:u w:val="none"/>
          <w:lang w:eastAsia="zh-CN"/>
        </w:rPr>
      </w:pPr>
      <w:r>
        <w:rPr>
          <w:rFonts w:hint="eastAsia" w:asciiTheme="minorEastAsia" w:hAnsiTheme="minorEastAsia" w:eastAsiaTheme="minorEastAsia" w:cstheme="minorEastAsia"/>
          <w:color w:val="auto"/>
          <w:sz w:val="21"/>
          <w:szCs w:val="21"/>
          <w:highlight w:val="none"/>
          <w:u w:val="none"/>
          <w:lang w:eastAsia="zh-CN"/>
        </w:rPr>
        <w:t>12.8.3本合同双方通知地址及方式如下：</w:t>
      </w:r>
    </w:p>
    <w:p w14:paraId="63341B08">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甲方：[ </w:t>
      </w:r>
      <w:r>
        <w:rPr>
          <w:rFonts w:hint="eastAsia" w:ascii="宋体" w:hAnsi="宋体"/>
          <w:color w:val="auto"/>
          <w:kern w:val="2"/>
          <w:sz w:val="21"/>
          <w:szCs w:val="21"/>
          <w:highlight w:val="none"/>
          <w:u w:val="none"/>
          <w:lang w:eastAsia="zh-CN"/>
        </w:rPr>
        <w:t>铜川市数据中心（铜川市联合征信中心）</w:t>
      </w:r>
      <w:r>
        <w:rPr>
          <w:rFonts w:hint="eastAsia" w:ascii="宋体" w:hAnsi="宋体"/>
          <w:color w:val="auto"/>
          <w:sz w:val="21"/>
          <w:szCs w:val="21"/>
          <w:highlight w:val="none"/>
          <w:u w:val="none"/>
          <w:lang w:eastAsia="zh-CN"/>
        </w:rPr>
        <w:t xml:space="preserve"> ] </w:t>
      </w:r>
    </w:p>
    <w:p w14:paraId="70A2809E">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地址：[        ]     </w:t>
      </w:r>
    </w:p>
    <w:p w14:paraId="129FB8A3">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联系人：[       ]     </w:t>
      </w:r>
    </w:p>
    <w:p w14:paraId="728AA823">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电话：[       ]      </w:t>
      </w:r>
    </w:p>
    <w:p w14:paraId="3EF971BD">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Email:[       ] </w:t>
      </w:r>
    </w:p>
    <w:p w14:paraId="626542B1">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乙方：[        ]          </w:t>
      </w:r>
    </w:p>
    <w:p w14:paraId="5C567009">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地址：[      ]     </w:t>
      </w:r>
    </w:p>
    <w:p w14:paraId="68D5B6D9">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联系人：[       ]     </w:t>
      </w:r>
    </w:p>
    <w:p w14:paraId="6241ABED">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电话：[       ]      </w:t>
      </w:r>
    </w:p>
    <w:p w14:paraId="5ED2B2C2">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 xml:space="preserve">Email:[       ] </w:t>
      </w:r>
    </w:p>
    <w:p w14:paraId="3EBD9465">
      <w:pPr>
        <w:pStyle w:val="4"/>
        <w:spacing w:line="360" w:lineRule="auto"/>
        <w:ind w:firstLineChars="200"/>
        <w:rPr>
          <w:color w:val="auto"/>
          <w:highlight w:val="none"/>
          <w:lang w:eastAsia="zh-CN"/>
        </w:rPr>
      </w:pPr>
      <w:r>
        <w:rPr>
          <w:rFonts w:hint="eastAsia" w:ascii="宋体" w:hAnsi="宋体"/>
          <w:color w:val="auto"/>
          <w:sz w:val="21"/>
          <w:szCs w:val="21"/>
          <w:highlight w:val="none"/>
          <w:u w:val="none"/>
          <w:lang w:eastAsia="zh-CN"/>
        </w:rPr>
        <w:t>上述任何信息发生变更的，变更方应及时以书面形式通知另一方，未及时通知并影响本合同履行或造成损失的，应承担相应的责任。</w:t>
      </w:r>
    </w:p>
    <w:p w14:paraId="016EA937">
      <w:pPr>
        <w:pStyle w:val="4"/>
        <w:spacing w:line="360" w:lineRule="auto"/>
        <w:ind w:firstLineChars="20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12.9甲方委托乙方承担本合同内容以外的工作服务，另行签订协议并支付费用。</w:t>
      </w:r>
    </w:p>
    <w:p w14:paraId="71AF22A3">
      <w:p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12.10附件为本合同不可分割的部分。若附件与合同正文有任何冲突，以合同正文为准。</w:t>
      </w:r>
    </w:p>
    <w:p w14:paraId="5D8D1831">
      <w:pPr>
        <w:pStyle w:val="2"/>
        <w:rPr>
          <w:color w:val="auto"/>
          <w:highlight w:val="none"/>
          <w:lang w:eastAsia="zh-CN"/>
        </w:rPr>
      </w:pPr>
      <w:r>
        <w:rPr>
          <w:rFonts w:hint="eastAsia" w:ascii="宋体" w:hAnsi="宋体" w:eastAsia="宋体"/>
          <w:color w:val="auto"/>
          <w:sz w:val="21"/>
          <w:szCs w:val="21"/>
          <w:highlight w:val="none"/>
          <w:lang w:eastAsia="zh-CN"/>
        </w:rPr>
        <w:t xml:space="preserve">       附件：</w:t>
      </w:r>
    </w:p>
    <w:tbl>
      <w:tblPr>
        <w:tblStyle w:val="11"/>
        <w:tblW w:w="8443" w:type="dxa"/>
        <w:tblInd w:w="286" w:type="dxa"/>
        <w:tblLayout w:type="fixed"/>
        <w:tblCellMar>
          <w:top w:w="0" w:type="dxa"/>
          <w:left w:w="108" w:type="dxa"/>
          <w:bottom w:w="0" w:type="dxa"/>
          <w:right w:w="108" w:type="dxa"/>
        </w:tblCellMar>
      </w:tblPr>
      <w:tblGrid>
        <w:gridCol w:w="4109"/>
        <w:gridCol w:w="4334"/>
      </w:tblGrid>
      <w:tr w14:paraId="67DEDF61">
        <w:tblPrEx>
          <w:tblCellMar>
            <w:top w:w="0" w:type="dxa"/>
            <w:left w:w="108" w:type="dxa"/>
            <w:bottom w:w="0" w:type="dxa"/>
            <w:right w:w="108" w:type="dxa"/>
          </w:tblCellMar>
        </w:tblPrEx>
        <w:tc>
          <w:tcPr>
            <w:tcW w:w="4109" w:type="dxa"/>
            <w:tcBorders>
              <w:top w:val="nil"/>
              <w:left w:val="nil"/>
              <w:bottom w:val="nil"/>
              <w:right w:val="nil"/>
            </w:tcBorders>
            <w:tcMar>
              <w:top w:w="15" w:type="dxa"/>
              <w:left w:w="15" w:type="dxa"/>
              <w:bottom w:w="0" w:type="dxa"/>
              <w:right w:w="15" w:type="dxa"/>
            </w:tcMar>
            <w:vAlign w:val="center"/>
          </w:tcPr>
          <w:p w14:paraId="7ECC7BA8">
            <w:pPr>
              <w:spacing w:line="360" w:lineRule="auto"/>
              <w:ind w:right="-109"/>
              <w:jc w:val="both"/>
              <w:rPr>
                <w:rFonts w:hint="eastAsia" w:ascii="宋体" w:hAnsi="宋体"/>
                <w:color w:val="auto"/>
                <w:kern w:val="2"/>
                <w:sz w:val="21"/>
                <w:szCs w:val="21"/>
                <w:highlight w:val="none"/>
                <w:lang w:eastAsia="zh-CN"/>
              </w:rPr>
            </w:pPr>
          </w:p>
          <w:p w14:paraId="4D450C3D">
            <w:pPr>
              <w:spacing w:line="360" w:lineRule="auto"/>
              <w:ind w:right="-109"/>
              <w:jc w:val="both"/>
              <w:rPr>
                <w:rFonts w:hint="eastAsia" w:ascii="宋体" w:hAnsi="宋体"/>
                <w:color w:val="auto"/>
                <w:kern w:val="2"/>
                <w:sz w:val="21"/>
                <w:szCs w:val="21"/>
                <w:highlight w:val="none"/>
                <w:lang w:eastAsia="zh-CN"/>
              </w:rPr>
            </w:pPr>
            <w:r>
              <w:rPr>
                <w:rFonts w:hint="eastAsia" w:ascii="宋体" w:hAnsi="宋体"/>
                <w:color w:val="auto"/>
                <w:kern w:val="2"/>
                <w:sz w:val="21"/>
                <w:szCs w:val="21"/>
                <w:highlight w:val="none"/>
                <w:lang w:eastAsia="zh-CN"/>
              </w:rPr>
              <w:t>甲方(盖章)：铜川市数据中心</w:t>
            </w:r>
          </w:p>
        </w:tc>
        <w:tc>
          <w:tcPr>
            <w:tcW w:w="4334" w:type="dxa"/>
            <w:tcBorders>
              <w:top w:val="nil"/>
              <w:left w:val="nil"/>
              <w:bottom w:val="nil"/>
              <w:right w:val="nil"/>
            </w:tcBorders>
            <w:tcMar>
              <w:top w:w="15" w:type="dxa"/>
              <w:left w:w="15" w:type="dxa"/>
              <w:bottom w:w="0" w:type="dxa"/>
              <w:right w:w="15" w:type="dxa"/>
            </w:tcMar>
            <w:vAlign w:val="center"/>
          </w:tcPr>
          <w:p w14:paraId="345ED595">
            <w:pPr>
              <w:spacing w:line="360" w:lineRule="auto"/>
              <w:ind w:firstLine="105" w:firstLineChars="50"/>
              <w:jc w:val="both"/>
              <w:rPr>
                <w:rFonts w:hint="eastAsia" w:ascii="宋体" w:hAnsi="宋体"/>
                <w:color w:val="auto"/>
                <w:kern w:val="2"/>
                <w:sz w:val="21"/>
                <w:szCs w:val="21"/>
                <w:highlight w:val="none"/>
                <w:lang w:eastAsia="zh-CN"/>
              </w:rPr>
            </w:pPr>
          </w:p>
          <w:p w14:paraId="7247625E">
            <w:pPr>
              <w:spacing w:line="360" w:lineRule="auto"/>
              <w:ind w:firstLine="105" w:firstLineChars="5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乙方(盖章)：</w:t>
            </w:r>
          </w:p>
        </w:tc>
      </w:tr>
      <w:tr w14:paraId="1823E641">
        <w:tblPrEx>
          <w:tblCellMar>
            <w:top w:w="0" w:type="dxa"/>
            <w:left w:w="108" w:type="dxa"/>
            <w:bottom w:w="0" w:type="dxa"/>
            <w:right w:w="108" w:type="dxa"/>
          </w:tblCellMar>
        </w:tblPrEx>
        <w:trPr>
          <w:trHeight w:val="245" w:hRule="atLeast"/>
        </w:trPr>
        <w:tc>
          <w:tcPr>
            <w:tcW w:w="4109" w:type="dxa"/>
            <w:tcBorders>
              <w:top w:val="nil"/>
              <w:left w:val="nil"/>
              <w:bottom w:val="nil"/>
              <w:right w:val="nil"/>
            </w:tcBorders>
            <w:tcMar>
              <w:top w:w="15" w:type="dxa"/>
              <w:left w:w="15" w:type="dxa"/>
              <w:bottom w:w="0" w:type="dxa"/>
              <w:right w:w="15" w:type="dxa"/>
            </w:tcMar>
            <w:vAlign w:val="center"/>
          </w:tcPr>
          <w:p w14:paraId="0D57CEEF">
            <w:pPr>
              <w:spacing w:line="360" w:lineRule="auto"/>
              <w:jc w:val="both"/>
              <w:rPr>
                <w:rFonts w:hint="eastAsia" w:ascii="宋体" w:hAnsi="宋体"/>
                <w:color w:val="auto"/>
                <w:kern w:val="2"/>
                <w:sz w:val="21"/>
                <w:szCs w:val="21"/>
                <w:highlight w:val="none"/>
              </w:rPr>
            </w:pPr>
          </w:p>
        </w:tc>
        <w:tc>
          <w:tcPr>
            <w:tcW w:w="4334" w:type="dxa"/>
            <w:tcBorders>
              <w:top w:val="nil"/>
              <w:left w:val="nil"/>
              <w:bottom w:val="nil"/>
              <w:right w:val="nil"/>
            </w:tcBorders>
            <w:tcMar>
              <w:top w:w="15" w:type="dxa"/>
              <w:left w:w="15" w:type="dxa"/>
              <w:bottom w:w="0" w:type="dxa"/>
              <w:right w:w="15" w:type="dxa"/>
            </w:tcMar>
            <w:vAlign w:val="center"/>
          </w:tcPr>
          <w:p w14:paraId="61F0B7F3">
            <w:pPr>
              <w:spacing w:line="360" w:lineRule="auto"/>
              <w:jc w:val="both"/>
              <w:rPr>
                <w:rFonts w:hint="eastAsia" w:ascii="宋体" w:hAnsi="宋体"/>
                <w:color w:val="auto"/>
                <w:kern w:val="2"/>
                <w:sz w:val="21"/>
                <w:szCs w:val="21"/>
                <w:highlight w:val="none"/>
              </w:rPr>
            </w:pPr>
          </w:p>
        </w:tc>
      </w:tr>
      <w:tr w14:paraId="60FFB314">
        <w:tblPrEx>
          <w:tblCellMar>
            <w:top w:w="0" w:type="dxa"/>
            <w:left w:w="108" w:type="dxa"/>
            <w:bottom w:w="0" w:type="dxa"/>
            <w:right w:w="108" w:type="dxa"/>
          </w:tblCellMar>
        </w:tblPrEx>
        <w:tc>
          <w:tcPr>
            <w:tcW w:w="4109" w:type="dxa"/>
            <w:tcBorders>
              <w:top w:val="nil"/>
              <w:left w:val="nil"/>
              <w:bottom w:val="nil"/>
              <w:right w:val="nil"/>
            </w:tcBorders>
            <w:tcMar>
              <w:top w:w="15" w:type="dxa"/>
              <w:left w:w="15" w:type="dxa"/>
              <w:bottom w:w="0" w:type="dxa"/>
              <w:right w:w="15" w:type="dxa"/>
            </w:tcMar>
            <w:vAlign w:val="center"/>
          </w:tcPr>
          <w:p w14:paraId="65758B9D">
            <w:pPr>
              <w:spacing w:line="360" w:lineRule="auto"/>
              <w:jc w:val="both"/>
              <w:rPr>
                <w:rFonts w:hint="eastAsia" w:ascii="宋体" w:hAnsi="宋体"/>
                <w:color w:val="auto"/>
                <w:kern w:val="2"/>
                <w:sz w:val="21"/>
                <w:szCs w:val="21"/>
                <w:highlight w:val="none"/>
              </w:rPr>
            </w:pPr>
          </w:p>
          <w:p w14:paraId="13583729">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地址：</w:t>
            </w:r>
          </w:p>
        </w:tc>
        <w:tc>
          <w:tcPr>
            <w:tcW w:w="4334" w:type="dxa"/>
            <w:tcBorders>
              <w:top w:val="nil"/>
              <w:left w:val="nil"/>
              <w:bottom w:val="nil"/>
              <w:right w:val="nil"/>
            </w:tcBorders>
            <w:tcMar>
              <w:top w:w="15" w:type="dxa"/>
              <w:left w:w="15" w:type="dxa"/>
              <w:bottom w:w="0" w:type="dxa"/>
              <w:right w:w="15" w:type="dxa"/>
            </w:tcMar>
            <w:vAlign w:val="center"/>
          </w:tcPr>
          <w:p w14:paraId="28DF6002">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地址：</w:t>
            </w:r>
          </w:p>
        </w:tc>
      </w:tr>
      <w:tr w14:paraId="28D43A94">
        <w:tblPrEx>
          <w:tblCellMar>
            <w:top w:w="0" w:type="dxa"/>
            <w:left w:w="108" w:type="dxa"/>
            <w:bottom w:w="0" w:type="dxa"/>
            <w:right w:w="108" w:type="dxa"/>
          </w:tblCellMar>
        </w:tblPrEx>
        <w:tc>
          <w:tcPr>
            <w:tcW w:w="4109" w:type="dxa"/>
            <w:tcBorders>
              <w:top w:val="nil"/>
              <w:left w:val="nil"/>
              <w:bottom w:val="nil"/>
              <w:right w:val="nil"/>
            </w:tcBorders>
            <w:tcMar>
              <w:top w:w="15" w:type="dxa"/>
              <w:left w:w="15" w:type="dxa"/>
              <w:bottom w:w="0" w:type="dxa"/>
              <w:right w:w="15" w:type="dxa"/>
            </w:tcMar>
            <w:vAlign w:val="center"/>
          </w:tcPr>
          <w:p w14:paraId="0E4A8DC0">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法定代表人：</w:t>
            </w:r>
          </w:p>
        </w:tc>
        <w:tc>
          <w:tcPr>
            <w:tcW w:w="4334" w:type="dxa"/>
            <w:tcBorders>
              <w:top w:val="nil"/>
              <w:left w:val="nil"/>
              <w:bottom w:val="nil"/>
              <w:right w:val="nil"/>
            </w:tcBorders>
            <w:tcMar>
              <w:top w:w="15" w:type="dxa"/>
              <w:left w:w="15" w:type="dxa"/>
              <w:bottom w:w="0" w:type="dxa"/>
              <w:right w:w="15" w:type="dxa"/>
            </w:tcMar>
            <w:vAlign w:val="center"/>
          </w:tcPr>
          <w:p w14:paraId="6181D479">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法定代表人：</w:t>
            </w:r>
          </w:p>
        </w:tc>
      </w:tr>
      <w:tr w14:paraId="3BF2AF0F">
        <w:tblPrEx>
          <w:tblCellMar>
            <w:top w:w="0" w:type="dxa"/>
            <w:left w:w="108" w:type="dxa"/>
            <w:bottom w:w="0" w:type="dxa"/>
            <w:right w:w="108" w:type="dxa"/>
          </w:tblCellMar>
        </w:tblPrEx>
        <w:tc>
          <w:tcPr>
            <w:tcW w:w="4109" w:type="dxa"/>
            <w:tcBorders>
              <w:top w:val="nil"/>
              <w:left w:val="nil"/>
              <w:bottom w:val="nil"/>
              <w:right w:val="nil"/>
            </w:tcBorders>
            <w:tcMar>
              <w:top w:w="15" w:type="dxa"/>
              <w:left w:w="15" w:type="dxa"/>
              <w:bottom w:w="0" w:type="dxa"/>
              <w:right w:w="15" w:type="dxa"/>
            </w:tcMar>
            <w:vAlign w:val="center"/>
          </w:tcPr>
          <w:p w14:paraId="3BF8448C">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lang w:eastAsia="zh-CN"/>
              </w:rPr>
              <w:t>或</w:t>
            </w:r>
            <w:r>
              <w:rPr>
                <w:rFonts w:hint="eastAsia" w:ascii="宋体" w:hAnsi="宋体"/>
                <w:color w:val="auto"/>
                <w:kern w:val="2"/>
                <w:sz w:val="21"/>
                <w:szCs w:val="21"/>
                <w:highlight w:val="none"/>
              </w:rPr>
              <w:t>委托代理人：</w:t>
            </w:r>
          </w:p>
        </w:tc>
        <w:tc>
          <w:tcPr>
            <w:tcW w:w="4334" w:type="dxa"/>
            <w:tcBorders>
              <w:top w:val="nil"/>
              <w:left w:val="nil"/>
              <w:bottom w:val="nil"/>
              <w:right w:val="nil"/>
            </w:tcBorders>
            <w:tcMar>
              <w:top w:w="15" w:type="dxa"/>
              <w:left w:w="15" w:type="dxa"/>
              <w:bottom w:w="0" w:type="dxa"/>
              <w:right w:w="15" w:type="dxa"/>
            </w:tcMar>
            <w:vAlign w:val="center"/>
          </w:tcPr>
          <w:p w14:paraId="250F39C5">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lang w:eastAsia="zh-CN"/>
              </w:rPr>
              <w:t>或</w:t>
            </w:r>
            <w:r>
              <w:rPr>
                <w:rFonts w:hint="eastAsia" w:ascii="宋体" w:hAnsi="宋体"/>
                <w:color w:val="auto"/>
                <w:kern w:val="2"/>
                <w:sz w:val="21"/>
                <w:szCs w:val="21"/>
                <w:highlight w:val="none"/>
              </w:rPr>
              <w:t>委托代理人：</w:t>
            </w:r>
          </w:p>
        </w:tc>
      </w:tr>
      <w:tr w14:paraId="12DD4D96">
        <w:tblPrEx>
          <w:tblCellMar>
            <w:top w:w="0" w:type="dxa"/>
            <w:left w:w="108" w:type="dxa"/>
            <w:bottom w:w="0" w:type="dxa"/>
            <w:right w:w="108" w:type="dxa"/>
          </w:tblCellMar>
        </w:tblPrEx>
        <w:tc>
          <w:tcPr>
            <w:tcW w:w="4109" w:type="dxa"/>
            <w:tcBorders>
              <w:top w:val="nil"/>
              <w:left w:val="nil"/>
              <w:bottom w:val="nil"/>
              <w:right w:val="nil"/>
            </w:tcBorders>
            <w:tcMar>
              <w:top w:w="15" w:type="dxa"/>
              <w:left w:w="15" w:type="dxa"/>
              <w:bottom w:w="0" w:type="dxa"/>
              <w:right w:w="15" w:type="dxa"/>
            </w:tcMar>
            <w:vAlign w:val="center"/>
          </w:tcPr>
          <w:p w14:paraId="506898CE">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签订日期：</w:t>
            </w:r>
          </w:p>
        </w:tc>
        <w:tc>
          <w:tcPr>
            <w:tcW w:w="4334" w:type="dxa"/>
            <w:tcBorders>
              <w:top w:val="nil"/>
              <w:left w:val="nil"/>
              <w:bottom w:val="nil"/>
              <w:right w:val="nil"/>
            </w:tcBorders>
            <w:tcMar>
              <w:top w:w="15" w:type="dxa"/>
              <w:left w:w="15" w:type="dxa"/>
              <w:bottom w:w="0" w:type="dxa"/>
              <w:right w:w="15" w:type="dxa"/>
            </w:tcMar>
            <w:vAlign w:val="center"/>
          </w:tcPr>
          <w:p w14:paraId="34FDADBB">
            <w:pPr>
              <w:spacing w:line="360" w:lineRule="auto"/>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签订日期：</w:t>
            </w:r>
          </w:p>
        </w:tc>
      </w:tr>
    </w:tbl>
    <w:p w14:paraId="3509EE70">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E6F9A8"/>
    <w:multiLevelType w:val="singleLevel"/>
    <w:tmpl w:val="11E6F9A8"/>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18"/>
    <w:rsid w:val="000C543B"/>
    <w:rsid w:val="00311905"/>
    <w:rsid w:val="00324E47"/>
    <w:rsid w:val="0073600C"/>
    <w:rsid w:val="007B1312"/>
    <w:rsid w:val="007E294A"/>
    <w:rsid w:val="009E25B5"/>
    <w:rsid w:val="00CD7838"/>
    <w:rsid w:val="00D04318"/>
    <w:rsid w:val="00D96738"/>
    <w:rsid w:val="00F35961"/>
    <w:rsid w:val="01387226"/>
    <w:rsid w:val="014D4677"/>
    <w:rsid w:val="01C34939"/>
    <w:rsid w:val="03C13A55"/>
    <w:rsid w:val="041B6CAE"/>
    <w:rsid w:val="051568C4"/>
    <w:rsid w:val="05401BE4"/>
    <w:rsid w:val="08420F6E"/>
    <w:rsid w:val="0C126C56"/>
    <w:rsid w:val="0D004C93"/>
    <w:rsid w:val="0D2070E4"/>
    <w:rsid w:val="0DB911B5"/>
    <w:rsid w:val="121F704C"/>
    <w:rsid w:val="1491195C"/>
    <w:rsid w:val="14F74BCE"/>
    <w:rsid w:val="16ED0036"/>
    <w:rsid w:val="18583BD5"/>
    <w:rsid w:val="19660C48"/>
    <w:rsid w:val="196873DF"/>
    <w:rsid w:val="1A0635F7"/>
    <w:rsid w:val="1A976C37"/>
    <w:rsid w:val="1D3544E5"/>
    <w:rsid w:val="1F394761"/>
    <w:rsid w:val="1FD77C36"/>
    <w:rsid w:val="27C2106B"/>
    <w:rsid w:val="2825161E"/>
    <w:rsid w:val="2CD0422B"/>
    <w:rsid w:val="2D1E6D44"/>
    <w:rsid w:val="2D780E9B"/>
    <w:rsid w:val="2E7C6F6A"/>
    <w:rsid w:val="2F7D6916"/>
    <w:rsid w:val="2FB614B6"/>
    <w:rsid w:val="30696528"/>
    <w:rsid w:val="32914064"/>
    <w:rsid w:val="335572D3"/>
    <w:rsid w:val="34594B05"/>
    <w:rsid w:val="35E556F5"/>
    <w:rsid w:val="38990F46"/>
    <w:rsid w:val="39865B38"/>
    <w:rsid w:val="3A3262F9"/>
    <w:rsid w:val="3B1D688D"/>
    <w:rsid w:val="3BC27434"/>
    <w:rsid w:val="3CE424D1"/>
    <w:rsid w:val="3FB1584D"/>
    <w:rsid w:val="408A49C4"/>
    <w:rsid w:val="40A23390"/>
    <w:rsid w:val="41B6453C"/>
    <w:rsid w:val="428E1E1E"/>
    <w:rsid w:val="441826EC"/>
    <w:rsid w:val="45431A93"/>
    <w:rsid w:val="459736E0"/>
    <w:rsid w:val="463135C0"/>
    <w:rsid w:val="481D7ECC"/>
    <w:rsid w:val="48506B04"/>
    <w:rsid w:val="48545C43"/>
    <w:rsid w:val="48A17D68"/>
    <w:rsid w:val="48F055E1"/>
    <w:rsid w:val="4E1458CD"/>
    <w:rsid w:val="50212524"/>
    <w:rsid w:val="520B3A96"/>
    <w:rsid w:val="523F1BDB"/>
    <w:rsid w:val="545A0C65"/>
    <w:rsid w:val="5774562F"/>
    <w:rsid w:val="5FF4730D"/>
    <w:rsid w:val="613A3445"/>
    <w:rsid w:val="61EF793D"/>
    <w:rsid w:val="621D3270"/>
    <w:rsid w:val="63F17C37"/>
    <w:rsid w:val="679D3DBC"/>
    <w:rsid w:val="68DE6DAC"/>
    <w:rsid w:val="698202EC"/>
    <w:rsid w:val="699B6A4B"/>
    <w:rsid w:val="6A0C44E6"/>
    <w:rsid w:val="6BA15F04"/>
    <w:rsid w:val="6BBB30C2"/>
    <w:rsid w:val="6DC400DD"/>
    <w:rsid w:val="6E1D2124"/>
    <w:rsid w:val="6F653D83"/>
    <w:rsid w:val="70CB6178"/>
    <w:rsid w:val="719D1821"/>
    <w:rsid w:val="76194B5F"/>
    <w:rsid w:val="769907B6"/>
    <w:rsid w:val="773E2A25"/>
    <w:rsid w:val="77CD0717"/>
    <w:rsid w:val="795804B5"/>
    <w:rsid w:val="7C11382C"/>
    <w:rsid w:val="7DBF4FA6"/>
    <w:rsid w:val="8F5BF420"/>
    <w:rsid w:val="B3BB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Calibri" w:hAnsi="Calibri" w:eastAsia="宋体" w:cs="宋体"/>
      <w:sz w:val="22"/>
      <w:szCs w:val="22"/>
      <w:lang w:val="en-US" w:eastAsia="en-US"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eastAsia="仿宋_GB2312"/>
      <w:sz w:val="16"/>
      <w:szCs w:val="16"/>
    </w:rPr>
  </w:style>
  <w:style w:type="paragraph" w:customStyle="1" w:styleId="3">
    <w:name w:val="Char1"/>
    <w:basedOn w:val="1"/>
    <w:qFormat/>
    <w:uiPriority w:val="0"/>
    <w:pPr>
      <w:tabs>
        <w:tab w:val="left" w:pos="840"/>
      </w:tabs>
      <w:ind w:left="840" w:hanging="420"/>
    </w:pPr>
    <w:rPr>
      <w:rFonts w:eastAsia="仿宋_GB2312"/>
      <w:sz w:val="24"/>
    </w:rPr>
  </w:style>
  <w:style w:type="paragraph" w:styleId="4">
    <w:name w:val="Body Text Indent"/>
    <w:basedOn w:val="1"/>
    <w:next w:val="5"/>
    <w:qFormat/>
    <w:uiPriority w:val="0"/>
    <w:pPr>
      <w:ind w:firstLine="420"/>
    </w:pPr>
    <w:rPr>
      <w:u w:val="single"/>
    </w:rPr>
  </w:style>
  <w:style w:type="paragraph" w:styleId="5">
    <w:name w:val="envelope return"/>
    <w:basedOn w:val="1"/>
    <w:qFormat/>
    <w:uiPriority w:val="0"/>
    <w:pPr>
      <w:snapToGrid w:val="0"/>
    </w:pPr>
  </w:style>
  <w:style w:type="paragraph" w:styleId="6">
    <w:name w:val="Block Text"/>
    <w:basedOn w:val="1"/>
    <w:next w:val="1"/>
    <w:unhideWhenUsed/>
    <w:qFormat/>
    <w:uiPriority w:val="0"/>
    <w:pPr>
      <w:spacing w:after="120"/>
      <w:ind w:left="1440" w:leftChars="700" w:right="1440" w:rightChars="700"/>
    </w:pPr>
  </w:style>
  <w:style w:type="paragraph" w:styleId="7">
    <w:name w:val="Body Text Indent 2"/>
    <w:basedOn w:val="1"/>
    <w:qFormat/>
    <w:uiPriority w:val="0"/>
    <w:pPr>
      <w:ind w:left="360" w:firstLine="540"/>
    </w:pPr>
    <w:rPr>
      <w:rFonts w:ascii="宋体"/>
      <w:sz w:val="28"/>
      <w:szCs w:val="20"/>
    </w:rPr>
  </w:style>
  <w:style w:type="paragraph" w:styleId="8">
    <w:name w:val="toc 1"/>
    <w:basedOn w:val="1"/>
    <w:next w:val="1"/>
    <w:qFormat/>
    <w:uiPriority w:val="39"/>
  </w:style>
  <w:style w:type="paragraph" w:styleId="9">
    <w:name w:val="Body Text Indent 3"/>
    <w:basedOn w:val="1"/>
    <w:qFormat/>
    <w:uiPriority w:val="0"/>
    <w:pPr>
      <w:ind w:firstLine="480"/>
    </w:pPr>
    <w:rPr>
      <w:rFonts w:eastAsia="仿宋_GB2312"/>
      <w:sz w:val="24"/>
      <w:szCs w:val="20"/>
    </w:rPr>
  </w:style>
  <w:style w:type="paragraph" w:styleId="10">
    <w:name w:val="Body Text First Indent 2"/>
    <w:basedOn w:val="4"/>
    <w:next w:val="6"/>
    <w:unhideWhenUsed/>
    <w:qFormat/>
    <w:uiPriority w:val="99"/>
    <w:pPr>
      <w:ind w:firstLineChars="200"/>
    </w:pPr>
  </w:style>
  <w:style w:type="paragraph" w:customStyle="1" w:styleId="13">
    <w:name w:val="标题 11"/>
    <w:basedOn w:val="1"/>
    <w:qFormat/>
    <w:uiPriority w:val="1"/>
    <w:pPr>
      <w:ind w:left="3"/>
      <w:outlineLvl w:val="1"/>
    </w:pPr>
    <w:rPr>
      <w:rFonts w:ascii="微软雅黑" w:hAnsi="微软雅黑" w:eastAsia="微软雅黑"/>
      <w:b/>
      <w:bCs/>
      <w:sz w:val="44"/>
      <w:szCs w:val="44"/>
    </w:rPr>
  </w:style>
  <w:style w:type="paragraph" w:customStyle="1" w:styleId="14">
    <w:name w:val="列表段落1"/>
    <w:basedOn w:val="1"/>
    <w:qFormat/>
    <w:uiPriority w:val="0"/>
    <w:pPr>
      <w:spacing w:line="360" w:lineRule="auto"/>
      <w:ind w:firstLine="420"/>
      <w:jc w:val="both"/>
    </w:pPr>
    <w:rPr>
      <w:rFonts w:cs="Times New Roman"/>
      <w:kern w:val="2"/>
      <w:sz w:val="24"/>
      <w:szCs w:val="24"/>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6905</Words>
  <Characters>7178</Characters>
  <Lines>398</Lines>
  <Paragraphs>299</Paragraphs>
  <TotalTime>10</TotalTime>
  <ScaleCrop>false</ScaleCrop>
  <LinksUpToDate>false</LinksUpToDate>
  <CharactersWithSpaces>7429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2025-12-03T16:22:00Z</dcterms:created>
  <dc:creator>刘小花</dc:creator>
  <cp:lastModifiedBy>M·Z</cp:lastModifiedBy>
  <dcterms:modified xsi:type="dcterms:W3CDTF">2025-12-08T06:51:01Z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eyJoZGlkIjoiYzI5YjhjZTMxZmUwMWI0Zjk2NGVhMjBlYmIxODk0YzUiLCJ1c2VySWQiOiI1NjY5MzExNjcifQ==</vt:lpwstr>
  </property>
  <property fmtid="{D5CDD505-2E9C-101B-9397-08002B2CF9AE}" pid="4" name="ICV">
    <vt:lpwstr>C8215C79548148EB99F1831178ACB412_13</vt:lpwstr>
  </property>
</Properties>
</file>