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版本号：TWZB2025-02720250219001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铜川市新区金鼎路排水管网及东段道路提升改造工程设计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TWZB2025-027</w:t>
      </w:r>
      <w:r>
        <w:br/>
      </w:r>
      <w:r>
        <w:br/>
      </w:r>
      <w:r>
        <w:br/>
      </w:r>
    </w:p>
    <w:p>
      <w:pPr>
        <w:pStyle w:val="null3"/>
        <w:jc w:val="center"/>
        <w:outlineLvl w:val="2"/>
      </w:pPr>
      <w:r>
        <w:rPr>
          <w:rFonts w:ascii="仿宋_GB2312" w:hAnsi="仿宋_GB2312" w:cs="仿宋_GB2312" w:eastAsia="仿宋_GB2312"/>
          <w:sz w:val="28"/>
          <w:b/>
        </w:rPr>
        <w:t>铜川市城市管理执法局新耀分局</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铜川市城市管理执法局新耀分局</w:t>
      </w:r>
      <w:r>
        <w:rPr>
          <w:rFonts w:ascii="仿宋_GB2312" w:hAnsi="仿宋_GB2312" w:cs="仿宋_GB2312" w:eastAsia="仿宋_GB2312"/>
        </w:rPr>
        <w:t>委托，拟对</w:t>
      </w:r>
      <w:r>
        <w:rPr>
          <w:rFonts w:ascii="仿宋_GB2312" w:hAnsi="仿宋_GB2312" w:cs="仿宋_GB2312" w:eastAsia="仿宋_GB2312"/>
        </w:rPr>
        <w:t>铜川市新区金鼎路排水管网及东段道路提升改造工程设计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TWZB2025-027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铜川市新区金鼎路排水管网及东段道路提升改造工程设计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铜川市新区金鼎路排水管网及东段道路提升改造工程设计项目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采购包1（铜川市新区金鼎路排水管网及东段道路提升改造工程设计）：属于专门面向中小企业采购。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1、经营主体：供应商为具有独立承担民事责任能力的法人、其他组织或自然人，并出具合法有效的营业执照或事业单位法人证书等国家规定的相关证明，自然人参与的提供其身份证明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2、法定代表人授权书及被授权人身份证（法定代表人直接参与，只须提交其身份证明）：法定代表人授权书及被授权人身份证（法定代表人直接参与，只须提交其身份证明）</w:t>
      </w:r>
    </w:p>
    <w:p>
      <w:pPr>
        <w:pStyle w:val="null3"/>
      </w:pPr>
      <w:r>
        <w:rPr>
          <w:rFonts w:ascii="仿宋_GB2312" w:hAnsi="仿宋_GB2312" w:cs="仿宋_GB2312" w:eastAsia="仿宋_GB2312"/>
        </w:rPr>
        <w:t>3、声明：具备履行合同所必须的设备和专业技术能力的声明</w:t>
      </w:r>
    </w:p>
    <w:p>
      <w:pPr>
        <w:pStyle w:val="null3"/>
      </w:pPr>
      <w:r>
        <w:rPr>
          <w:rFonts w:ascii="仿宋_GB2312" w:hAnsi="仿宋_GB2312" w:cs="仿宋_GB2312" w:eastAsia="仿宋_GB2312"/>
        </w:rPr>
        <w:t>4、声明：磋商供应商在近三年经营活动中没有重大违法记录的声明</w:t>
      </w:r>
    </w:p>
    <w:p>
      <w:pPr>
        <w:pStyle w:val="null3"/>
      </w:pPr>
      <w:r>
        <w:rPr>
          <w:rFonts w:ascii="仿宋_GB2312" w:hAnsi="仿宋_GB2312" w:cs="仿宋_GB2312" w:eastAsia="仿宋_GB2312"/>
        </w:rPr>
        <w:t>5、财务状况报告：财务状况报告：提供2023年度经审计的财务报告（成立时间至提交响应文件截止时间不足一年的可提供成立后任意时段的资产负债表）或其递交响应文件截止之日前三个月内基本开户银行出具的资信证明</w:t>
      </w:r>
    </w:p>
    <w:p>
      <w:pPr>
        <w:pStyle w:val="null3"/>
      </w:pPr>
      <w:r>
        <w:rPr>
          <w:rFonts w:ascii="仿宋_GB2312" w:hAnsi="仿宋_GB2312" w:cs="仿宋_GB2312" w:eastAsia="仿宋_GB2312"/>
        </w:rPr>
        <w:t>6、税收缴纳证明：税收缴纳证明：磋商供应商提供已缴纳的2024年6月至今至少一个月的纳税证明或完税证明（任意税种）；依法免税的单位应提供相关文件证明</w:t>
      </w:r>
    </w:p>
    <w:p>
      <w:pPr>
        <w:pStyle w:val="null3"/>
      </w:pPr>
      <w:r>
        <w:rPr>
          <w:rFonts w:ascii="仿宋_GB2312" w:hAnsi="仿宋_GB2312" w:cs="仿宋_GB2312" w:eastAsia="仿宋_GB2312"/>
        </w:rPr>
        <w:t>7、社会保障资金缴纳证明：社会保障资金缴纳证明：磋商供应商提供已缴存的2024年6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8、资质：供应商具备工程设计综合甲级资质或市政行业设计（道路工程、排水工程）乙级及以上资质</w:t>
      </w:r>
    </w:p>
    <w:p>
      <w:pPr>
        <w:pStyle w:val="null3"/>
      </w:pPr>
      <w:r>
        <w:rPr>
          <w:rFonts w:ascii="仿宋_GB2312" w:hAnsi="仿宋_GB2312" w:cs="仿宋_GB2312" w:eastAsia="仿宋_GB2312"/>
        </w:rPr>
        <w:t>9、项目负责人职称：拟派项目负责人具有市政工程相关专业高级或以上职称或具有注册公用设备工程师（给水排水）执业资格</w:t>
      </w:r>
    </w:p>
    <w:p>
      <w:pPr>
        <w:pStyle w:val="null3"/>
      </w:pPr>
      <w:r>
        <w:rPr>
          <w:rFonts w:ascii="仿宋_GB2312" w:hAnsi="仿宋_GB2312" w:cs="仿宋_GB2312" w:eastAsia="仿宋_GB2312"/>
        </w:rPr>
        <w:t>10、信用查询：磋商供应商不得为“信用中国”网站（www.creditchina.gov.cn）中列入失信被执行人和重大税收违法失信主体的磋商供应商，不得为中国政府采购网（www.ccgp.gov.cn）政府采购严重违法失信行为记录名单中被财政部门禁止参加政府采购活动的磋商供应商）（此条无需提供，采购代理机构在评标现场查询）</w:t>
      </w:r>
    </w:p>
    <w:p>
      <w:pPr>
        <w:pStyle w:val="null3"/>
      </w:pPr>
      <w:r>
        <w:rPr>
          <w:rFonts w:ascii="仿宋_GB2312" w:hAnsi="仿宋_GB2312" w:cs="仿宋_GB2312" w:eastAsia="仿宋_GB2312"/>
        </w:rPr>
        <w:t>11、不接受联合体磋商：本项目不接受联合体磋商（提供非联合体承诺书）</w:t>
      </w:r>
    </w:p>
    <w:p>
      <w:pPr>
        <w:pStyle w:val="null3"/>
      </w:pPr>
      <w:r>
        <w:rPr>
          <w:rFonts w:ascii="仿宋_GB2312" w:hAnsi="仿宋_GB2312" w:cs="仿宋_GB2312" w:eastAsia="仿宋_GB2312"/>
        </w:rPr>
        <w:t>12、专门面向中小企业采购：本项目专门面向中小企业采购，非中小企业单位（监狱企业、残疾人福利单位除外）不得参与（提供中小企业声明函）</w:t>
      </w:r>
    </w:p>
    <w:p>
      <w:pPr>
        <w:pStyle w:val="null3"/>
      </w:pPr>
      <w:r>
        <w:rPr>
          <w:rFonts w:ascii="仿宋_GB2312" w:hAnsi="仿宋_GB2312" w:cs="仿宋_GB2312" w:eastAsia="仿宋_GB2312"/>
        </w:rPr>
        <w:t>13、企业关联关系：单位负责人为同一人或者存在控股、管理关系的不同单位不得同时磋商（提供磋商供应商企业关系关联承诺书）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铜川市城市管理执法局新耀分局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铜川市新区长虹路9号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0919-3182039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代理服务费收费标准：成交服务费依据《国家发展和改革委员会文件发改价格[2011]534号文件》及《国家计委价格[2002]1980号文件》规定标准收取，(若服务费按承诺收费标准计算不足5000元按5000元计取) 服务费账户信息： 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铜川市城市管理执法局新耀分局</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铜川市城市管理执法局新耀分局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铜川市城市管理执法局新耀分局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改造道路西起铁诺南路，沿线与长丰南路(西线)、长丰南路(东线)相交，终点至正阳路，路线全长约1207.25m，车行道宽度12m，道路总宽21.16-29.47m。主要对铁诺南路~长丰南路(东线)段的雨污水管道采用非开挖修复工艺进行修复(CIPP紫外光整体固化修复);对长丰南路(东线)~正阳路段的道路、排水管网、照明及标志标线等设施进行拆除重建。满足该段道路雨污水正常排放的需求，提升金鼎东段道路的行车舒适性、行人出行便捷性及夜间的道路亮化效果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405,000.00</w:t>
      </w:r>
    </w:p>
    <w:p>
      <w:pPr>
        <w:pStyle w:val="null3"/>
      </w:pPr>
      <w:r>
        <w:rPr>
          <w:rFonts w:ascii="仿宋_GB2312" w:hAnsi="仿宋_GB2312" w:cs="仿宋_GB2312" w:eastAsia="仿宋_GB2312"/>
        </w:rPr>
        <w:t>采购包最高限价（元）: 405,000.00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铜川市新区金鼎路排水管网及东段道路提升改造工程设计费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标的名称：铜川市新区金鼎路排水管网及东段道路提升改造工程设计费</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项目技术、服务</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项目内容：</w:t>
            </w:r>
            <w:r>
              <w:rPr>
                <w:rFonts w:ascii="仿宋_GB2312" w:hAnsi="仿宋_GB2312" w:cs="仿宋_GB2312" w:eastAsia="仿宋_GB2312"/>
                <w:sz w:val="24"/>
              </w:rPr>
              <w:t>本次改造道路西起铁诺南路，沿线与长丰南路</w:t>
            </w:r>
            <w:r>
              <w:rPr>
                <w:rFonts w:ascii="仿宋_GB2312" w:hAnsi="仿宋_GB2312" w:cs="仿宋_GB2312" w:eastAsia="仿宋_GB2312"/>
                <w:sz w:val="24"/>
              </w:rPr>
              <w:t>(西线)、长丰南路(东线)相交，终点至正阳路，路线全长约1207.25m，车行道宽度12m，道路总宽21.16-29.47m。主要对铁诺南路~长丰南路(东线)段的雨污水管道采用非开挖修复工艺进行修复(CIPP紫外光整体固化修复);对长丰南路(东线)~正阳路段的道路、排水管网、照明及标志标线等设施进行拆除重建。满足该段道路雨污水正常排放的需求，提升金鼎东段道路的行车舒适性、行人出行便捷性及夜间的道路亮化效果等。</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提交成果文件：</w:t>
            </w:r>
          </w:p>
          <w:p>
            <w:pPr>
              <w:pStyle w:val="null3"/>
              <w:jc w:val="both"/>
            </w:pPr>
            <w:r>
              <w:rPr>
                <w:rFonts w:ascii="仿宋_GB2312" w:hAnsi="仿宋_GB2312" w:cs="仿宋_GB2312" w:eastAsia="仿宋_GB2312"/>
                <w:sz w:val="24"/>
                <w:b/>
              </w:rPr>
              <w:t>1. 成果内容：</w:t>
            </w:r>
            <w:r>
              <w:rPr>
                <w:rFonts w:ascii="仿宋_GB2312" w:hAnsi="仿宋_GB2312" w:cs="仿宋_GB2312" w:eastAsia="仿宋_GB2312"/>
                <w:sz w:val="24"/>
              </w:rPr>
              <w:t>完成初步设计（含概算）、施工图设计及工程预算编制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 成果提供方式：</w:t>
            </w:r>
          </w:p>
          <w:p>
            <w:pPr>
              <w:pStyle w:val="null3"/>
              <w:ind w:firstLine="480"/>
              <w:jc w:val="both"/>
            </w:pPr>
            <w:r>
              <w:rPr>
                <w:rFonts w:ascii="仿宋_GB2312" w:hAnsi="仿宋_GB2312" w:cs="仿宋_GB2312" w:eastAsia="仿宋_GB2312"/>
                <w:sz w:val="24"/>
              </w:rPr>
              <w:t>初步</w:t>
            </w:r>
            <w:r>
              <w:rPr>
                <w:rFonts w:ascii="仿宋_GB2312" w:hAnsi="仿宋_GB2312" w:cs="仿宋_GB2312" w:eastAsia="仿宋_GB2312"/>
                <w:sz w:val="24"/>
              </w:rPr>
              <w:t>设计</w:t>
            </w:r>
            <w:r>
              <w:rPr>
                <w:rFonts w:ascii="仿宋_GB2312" w:hAnsi="仿宋_GB2312" w:cs="仿宋_GB2312" w:eastAsia="仿宋_GB2312"/>
                <w:sz w:val="24"/>
              </w:rPr>
              <w:t>:</w:t>
            </w:r>
            <w:r>
              <w:rPr>
                <w:rFonts w:ascii="仿宋_GB2312" w:hAnsi="仿宋_GB2312" w:cs="仿宋_GB2312" w:eastAsia="仿宋_GB2312"/>
                <w:sz w:val="24"/>
              </w:rPr>
              <w:t>初步设计图</w:t>
            </w:r>
            <w:r>
              <w:rPr>
                <w:rFonts w:ascii="仿宋_GB2312" w:hAnsi="仿宋_GB2312" w:cs="仿宋_GB2312" w:eastAsia="仿宋_GB2312"/>
                <w:sz w:val="24"/>
              </w:rPr>
              <w:t>6</w:t>
            </w:r>
            <w:r>
              <w:rPr>
                <w:rFonts w:ascii="仿宋_GB2312" w:hAnsi="仿宋_GB2312" w:cs="仿宋_GB2312" w:eastAsia="仿宋_GB2312"/>
                <w:sz w:val="24"/>
              </w:rPr>
              <w:t>套（含</w:t>
            </w:r>
            <w:r>
              <w:rPr>
                <w:rFonts w:ascii="仿宋_GB2312" w:hAnsi="仿宋_GB2312" w:cs="仿宋_GB2312" w:eastAsia="仿宋_GB2312"/>
                <w:sz w:val="24"/>
              </w:rPr>
              <w:t>概算</w:t>
            </w:r>
            <w:r>
              <w:rPr>
                <w:rFonts w:ascii="仿宋_GB2312" w:hAnsi="仿宋_GB2312" w:cs="仿宋_GB2312" w:eastAsia="仿宋_GB2312"/>
                <w:sz w:val="24"/>
              </w:rPr>
              <w:t>），设计成果光盘</w:t>
            </w:r>
            <w:r>
              <w:rPr>
                <w:rFonts w:ascii="仿宋_GB2312" w:hAnsi="仿宋_GB2312" w:cs="仿宋_GB2312" w:eastAsia="仿宋_GB2312"/>
                <w:sz w:val="24"/>
              </w:rPr>
              <w:t>2份（每份均包含CAD、</w:t>
            </w:r>
            <w:r>
              <w:rPr>
                <w:rFonts w:ascii="仿宋_GB2312" w:hAnsi="仿宋_GB2312" w:cs="仿宋_GB2312" w:eastAsia="仿宋_GB2312"/>
                <w:sz w:val="24"/>
              </w:rPr>
              <w:t>GBQ</w:t>
            </w:r>
            <w:r>
              <w:rPr>
                <w:rFonts w:ascii="仿宋_GB2312" w:hAnsi="仿宋_GB2312" w:cs="仿宋_GB2312" w:eastAsia="仿宋_GB2312"/>
                <w:sz w:val="24"/>
              </w:rPr>
              <w:t>及</w:t>
            </w:r>
            <w:r>
              <w:rPr>
                <w:rFonts w:ascii="仿宋_GB2312" w:hAnsi="仿宋_GB2312" w:cs="仿宋_GB2312" w:eastAsia="仿宋_GB2312"/>
                <w:sz w:val="24"/>
              </w:rPr>
              <w:t>PDF格式）。</w:t>
            </w:r>
          </w:p>
          <w:p>
            <w:pPr>
              <w:pStyle w:val="null3"/>
              <w:ind w:firstLine="480"/>
              <w:jc w:val="both"/>
            </w:pPr>
            <w:r>
              <w:rPr>
                <w:rFonts w:ascii="仿宋_GB2312" w:hAnsi="仿宋_GB2312" w:cs="仿宋_GB2312" w:eastAsia="仿宋_GB2312"/>
                <w:sz w:val="24"/>
              </w:rPr>
              <w:t>施工图设计</w:t>
            </w:r>
            <w:r>
              <w:rPr>
                <w:rFonts w:ascii="仿宋_GB2312" w:hAnsi="仿宋_GB2312" w:cs="仿宋_GB2312" w:eastAsia="仿宋_GB2312"/>
                <w:sz w:val="24"/>
              </w:rPr>
              <w:t>:施工图</w:t>
            </w:r>
            <w:r>
              <w:rPr>
                <w:rFonts w:ascii="仿宋_GB2312" w:hAnsi="仿宋_GB2312" w:cs="仿宋_GB2312" w:eastAsia="仿宋_GB2312"/>
                <w:sz w:val="24"/>
              </w:rPr>
              <w:t>6</w:t>
            </w:r>
            <w:r>
              <w:rPr>
                <w:rFonts w:ascii="仿宋_GB2312" w:hAnsi="仿宋_GB2312" w:cs="仿宋_GB2312" w:eastAsia="仿宋_GB2312"/>
                <w:sz w:val="24"/>
              </w:rPr>
              <w:t>套（含工程预算编制），设计成果光盘</w:t>
            </w:r>
            <w:r>
              <w:rPr>
                <w:rFonts w:ascii="仿宋_GB2312" w:hAnsi="仿宋_GB2312" w:cs="仿宋_GB2312" w:eastAsia="仿宋_GB2312"/>
                <w:sz w:val="24"/>
              </w:rPr>
              <w:t>2份（每份均包含CAD、</w:t>
            </w:r>
            <w:r>
              <w:rPr>
                <w:rFonts w:ascii="仿宋_GB2312" w:hAnsi="仿宋_GB2312" w:cs="仿宋_GB2312" w:eastAsia="仿宋_GB2312"/>
                <w:sz w:val="24"/>
              </w:rPr>
              <w:t>GBQ</w:t>
            </w:r>
            <w:r>
              <w:rPr>
                <w:rFonts w:ascii="仿宋_GB2312" w:hAnsi="仿宋_GB2312" w:cs="仿宋_GB2312" w:eastAsia="仿宋_GB2312"/>
                <w:sz w:val="24"/>
              </w:rPr>
              <w:t>及</w:t>
            </w:r>
            <w:r>
              <w:rPr>
                <w:rFonts w:ascii="仿宋_GB2312" w:hAnsi="仿宋_GB2312" w:cs="仿宋_GB2312" w:eastAsia="仿宋_GB2312"/>
                <w:sz w:val="24"/>
              </w:rPr>
              <w:t>PDF格式）。</w:t>
            </w:r>
          </w:p>
          <w:p>
            <w:pPr>
              <w:pStyle w:val="null3"/>
              <w:jc w:val="both"/>
            </w:pPr>
            <w:r>
              <w:rPr>
                <w:rFonts w:ascii="仿宋_GB2312" w:hAnsi="仿宋_GB2312" w:cs="仿宋_GB2312" w:eastAsia="仿宋_GB2312"/>
                <w:sz w:val="24"/>
                <w:b/>
              </w:rPr>
              <w:t>二、商务及其他要求</w:t>
            </w:r>
          </w:p>
          <w:p>
            <w:pPr>
              <w:pStyle w:val="null3"/>
              <w:jc w:val="both"/>
            </w:pPr>
            <w:r>
              <w:rPr>
                <w:rFonts w:ascii="仿宋_GB2312" w:hAnsi="仿宋_GB2312" w:cs="仿宋_GB2312" w:eastAsia="仿宋_GB2312"/>
                <w:sz w:val="24"/>
                <w:b/>
              </w:rPr>
              <w:t>（一）质量要求：</w:t>
            </w:r>
            <w:r>
              <w:rPr>
                <w:rFonts w:ascii="仿宋_GB2312" w:hAnsi="仿宋_GB2312" w:cs="仿宋_GB2312" w:eastAsia="仿宋_GB2312"/>
                <w:sz w:val="24"/>
              </w:rPr>
              <w:t>符合国家和地方相关规范和行业标准要求。</w:t>
            </w:r>
          </w:p>
          <w:p>
            <w:pPr>
              <w:pStyle w:val="null3"/>
              <w:jc w:val="both"/>
            </w:pPr>
            <w:r>
              <w:rPr>
                <w:rFonts w:ascii="仿宋_GB2312" w:hAnsi="仿宋_GB2312" w:cs="仿宋_GB2312" w:eastAsia="仿宋_GB2312"/>
                <w:sz w:val="24"/>
                <w:b/>
              </w:rPr>
              <w:t>（二）服务期：合同签订之日起</w:t>
            </w:r>
            <w:r>
              <w:rPr>
                <w:rFonts w:ascii="仿宋_GB2312" w:hAnsi="仿宋_GB2312" w:cs="仿宋_GB2312" w:eastAsia="仿宋_GB2312"/>
                <w:sz w:val="24"/>
                <w:b/>
              </w:rPr>
              <w:t>30日历日</w:t>
            </w:r>
          </w:p>
          <w:p>
            <w:pPr>
              <w:pStyle w:val="null3"/>
              <w:jc w:val="both"/>
            </w:pPr>
            <w:r>
              <w:rPr>
                <w:rFonts w:ascii="仿宋_GB2312" w:hAnsi="仿宋_GB2312" w:cs="仿宋_GB2312" w:eastAsia="仿宋_GB2312"/>
                <w:sz w:val="24"/>
                <w:b/>
              </w:rPr>
              <w:t>（三）合同价款：</w:t>
            </w:r>
          </w:p>
          <w:p>
            <w:pPr>
              <w:pStyle w:val="null3"/>
              <w:ind w:firstLine="240"/>
              <w:jc w:val="both"/>
            </w:pPr>
            <w:r>
              <w:rPr>
                <w:rFonts w:ascii="仿宋_GB2312" w:hAnsi="仿宋_GB2312" w:cs="仿宋_GB2312" w:eastAsia="仿宋_GB2312"/>
                <w:sz w:val="24"/>
              </w:rPr>
              <w:t>3.1合同总价包括：项目实施费及其他费用等从项目实施至验收合格等所有其他有关各项的含税费用。</w:t>
            </w:r>
          </w:p>
          <w:p>
            <w:pPr>
              <w:pStyle w:val="null3"/>
              <w:ind w:firstLine="240"/>
              <w:jc w:val="both"/>
            </w:pPr>
            <w:r>
              <w:rPr>
                <w:rFonts w:ascii="仿宋_GB2312" w:hAnsi="仿宋_GB2312" w:cs="仿宋_GB2312" w:eastAsia="仿宋_GB2312"/>
                <w:sz w:val="24"/>
              </w:rPr>
              <w:t>3.2合同总价一次包死，不受市场价格、工作量变化等其它因素的影响。</w:t>
            </w:r>
          </w:p>
          <w:p>
            <w:pPr>
              <w:pStyle w:val="null3"/>
              <w:jc w:val="both"/>
            </w:pPr>
            <w:r>
              <w:rPr>
                <w:rFonts w:ascii="仿宋_GB2312" w:hAnsi="仿宋_GB2312" w:cs="仿宋_GB2312" w:eastAsia="仿宋_GB2312"/>
                <w:sz w:val="24"/>
                <w:b/>
              </w:rPr>
              <w:t>（四）付款方式：</w:t>
            </w:r>
          </w:p>
          <w:p>
            <w:pPr>
              <w:pStyle w:val="null3"/>
              <w:ind w:firstLine="240"/>
              <w:jc w:val="both"/>
            </w:pPr>
            <w:r>
              <w:rPr>
                <w:rFonts w:ascii="仿宋_GB2312" w:hAnsi="仿宋_GB2312" w:cs="仿宋_GB2312" w:eastAsia="仿宋_GB2312"/>
                <w:sz w:val="24"/>
              </w:rPr>
              <w:t>4.1、</w:t>
            </w:r>
            <w:r>
              <w:rPr>
                <w:rFonts w:ascii="仿宋_GB2312" w:hAnsi="仿宋_GB2312" w:cs="仿宋_GB2312" w:eastAsia="仿宋_GB2312"/>
                <w:sz w:val="24"/>
                <w:b/>
              </w:rPr>
              <w:t>付款方式：</w:t>
            </w:r>
            <w:r>
              <w:rPr>
                <w:rFonts w:ascii="仿宋_GB2312" w:hAnsi="仿宋_GB2312" w:cs="仿宋_GB2312" w:eastAsia="仿宋_GB2312"/>
                <w:sz w:val="24"/>
              </w:rPr>
              <w:t>合同签订后付合同价款的</w:t>
            </w:r>
            <w:r>
              <w:rPr>
                <w:rFonts w:ascii="仿宋_GB2312" w:hAnsi="仿宋_GB2312" w:cs="仿宋_GB2312" w:eastAsia="仿宋_GB2312"/>
                <w:sz w:val="24"/>
              </w:rPr>
              <w:t>40%，施工图设计评审完毕付合同价款30%  ，竣工验收完毕付款至100%。</w:t>
            </w:r>
          </w:p>
          <w:p>
            <w:pPr>
              <w:pStyle w:val="null3"/>
              <w:ind w:firstLine="240"/>
              <w:jc w:val="both"/>
            </w:pPr>
            <w:r>
              <w:rPr>
                <w:rFonts w:ascii="仿宋_GB2312" w:hAnsi="仿宋_GB2312" w:cs="仿宋_GB2312" w:eastAsia="仿宋_GB2312"/>
                <w:sz w:val="24"/>
              </w:rPr>
              <w:t>4.2、结算方式：采购人与成交供应商直接结算，发票直开采购人。</w:t>
            </w:r>
          </w:p>
          <w:p>
            <w:pPr>
              <w:pStyle w:val="null3"/>
              <w:ind w:firstLine="240"/>
              <w:jc w:val="both"/>
            </w:pPr>
            <w:r>
              <w:rPr>
                <w:rFonts w:ascii="仿宋_GB2312" w:hAnsi="仿宋_GB2312" w:cs="仿宋_GB2312" w:eastAsia="仿宋_GB2312"/>
                <w:sz w:val="24"/>
              </w:rPr>
              <w:t>4.3、支付方式：银行转账。</w:t>
            </w:r>
          </w:p>
          <w:p>
            <w:pPr>
              <w:pStyle w:val="null3"/>
              <w:jc w:val="both"/>
            </w:pPr>
            <w:r>
              <w:rPr>
                <w:rFonts w:ascii="仿宋_GB2312" w:hAnsi="仿宋_GB2312" w:cs="仿宋_GB2312" w:eastAsia="仿宋_GB2312"/>
                <w:sz w:val="24"/>
                <w:b/>
              </w:rPr>
              <w:t>（五）项目检验与验收</w:t>
            </w:r>
          </w:p>
          <w:p>
            <w:pPr>
              <w:pStyle w:val="null3"/>
              <w:ind w:firstLine="240"/>
              <w:jc w:val="both"/>
            </w:pPr>
            <w:r>
              <w:rPr>
                <w:rFonts w:ascii="仿宋_GB2312" w:hAnsi="仿宋_GB2312" w:cs="仿宋_GB2312" w:eastAsia="仿宋_GB2312"/>
                <w:sz w:val="24"/>
              </w:rPr>
              <w:t>5.1、成交供应商向采购人提交项目实施过程中的所有资料。</w:t>
            </w:r>
          </w:p>
          <w:p>
            <w:pPr>
              <w:pStyle w:val="null3"/>
              <w:ind w:firstLine="240"/>
              <w:jc w:val="both"/>
            </w:pPr>
            <w:r>
              <w:rPr>
                <w:rFonts w:ascii="仿宋_GB2312" w:hAnsi="仿宋_GB2312" w:cs="仿宋_GB2312" w:eastAsia="仿宋_GB2312"/>
                <w:sz w:val="24"/>
              </w:rPr>
              <w:t>5.2、验收须以合同、竞争性磋商文件及竞争性磋商响应文件、澄清、及国家相应的标准、规范等为依据。</w:t>
            </w:r>
          </w:p>
          <w:p>
            <w:pPr>
              <w:pStyle w:val="null3"/>
              <w:jc w:val="both"/>
            </w:pPr>
            <w:r>
              <w:rPr>
                <w:rFonts w:ascii="仿宋_GB2312" w:hAnsi="仿宋_GB2312" w:cs="仿宋_GB2312" w:eastAsia="仿宋_GB2312"/>
                <w:sz w:val="24"/>
                <w:b/>
              </w:rPr>
              <w:t>（六）合同争议的解决</w:t>
            </w:r>
          </w:p>
          <w:p>
            <w:pPr>
              <w:pStyle w:val="null3"/>
              <w:ind w:firstLine="240"/>
              <w:jc w:val="both"/>
            </w:pPr>
            <w:r>
              <w:rPr>
                <w:rFonts w:ascii="仿宋_GB2312" w:hAnsi="仿宋_GB2312" w:cs="仿宋_GB2312" w:eastAsia="仿宋_GB2312"/>
                <w:sz w:val="24"/>
              </w:rPr>
              <w:t>6.1、合同一经签订，不得擅自变更、中止或者终止合同。对确需变更、调整或者中止、终止合同的，应按规定履行相应的手续。</w:t>
            </w:r>
          </w:p>
          <w:p>
            <w:pPr>
              <w:pStyle w:val="null3"/>
              <w:ind w:firstLine="240"/>
              <w:jc w:val="both"/>
            </w:pPr>
            <w:r>
              <w:rPr>
                <w:rFonts w:ascii="仿宋_GB2312" w:hAnsi="仿宋_GB2312" w:cs="仿宋_GB2312" w:eastAsia="仿宋_GB2312"/>
                <w:sz w:val="24"/>
              </w:rPr>
              <w:t>6.2、采购人在合同的履行期间以及履行期后，可以随时检查项目的执行情况，对磋商响应标准、磋商响应内容进行调查核实，并对发现的问题进行处理。</w:t>
            </w:r>
          </w:p>
          <w:p>
            <w:pPr>
              <w:pStyle w:val="null3"/>
              <w:ind w:firstLine="240"/>
              <w:jc w:val="both"/>
            </w:pPr>
            <w:r>
              <w:rPr>
                <w:rFonts w:ascii="仿宋_GB2312" w:hAnsi="仿宋_GB2312" w:cs="仿宋_GB2312" w:eastAsia="仿宋_GB2312"/>
                <w:sz w:val="24"/>
              </w:rPr>
              <w:t>6.3、合同争议的解决：</w:t>
            </w:r>
            <w:r>
              <w:rPr>
                <w:rFonts w:ascii="仿宋_GB2312" w:hAnsi="仿宋_GB2312" w:cs="仿宋_GB2312" w:eastAsia="仿宋_GB2312"/>
                <w:sz w:val="24"/>
              </w:rPr>
              <w:t>合同在履行过程中发生的争议，当事人双方应协商解决，协商达不成一致时，可向当地人民法院提请诉讼。</w:t>
            </w:r>
          </w:p>
          <w:p>
            <w:pPr>
              <w:pStyle w:val="null3"/>
              <w:jc w:val="both"/>
            </w:pPr>
            <w:r>
              <w:rPr>
                <w:rFonts w:ascii="仿宋_GB2312" w:hAnsi="仿宋_GB2312" w:cs="仿宋_GB2312" w:eastAsia="仿宋_GB2312"/>
                <w:sz w:val="24"/>
                <w:b/>
              </w:rPr>
              <w:t>（七）违约责任</w:t>
            </w:r>
          </w:p>
          <w:p>
            <w:pPr>
              <w:pStyle w:val="null3"/>
              <w:ind w:firstLine="240"/>
              <w:jc w:val="both"/>
            </w:pPr>
            <w:r>
              <w:rPr>
                <w:rFonts w:ascii="仿宋_GB2312" w:hAnsi="仿宋_GB2312" w:cs="仿宋_GB2312" w:eastAsia="仿宋_GB2312"/>
                <w:sz w:val="24"/>
              </w:rPr>
              <w:t>7.1、依据《中华人民共和国民法典》、《中华人民共和国政府采购法》的相关条款和本合同约定的相关条款执行。</w:t>
            </w:r>
          </w:p>
          <w:p>
            <w:pPr>
              <w:pStyle w:val="null3"/>
              <w:ind w:firstLine="240"/>
              <w:jc w:val="left"/>
            </w:pPr>
            <w:r>
              <w:rPr>
                <w:rFonts w:ascii="仿宋_GB2312" w:hAnsi="仿宋_GB2312" w:cs="仿宋_GB2312" w:eastAsia="仿宋_GB2312"/>
                <w:sz w:val="24"/>
              </w:rPr>
              <w:t>7.2、成交供应商未按合同要求履行，不符合磋商技术要求，成交供应商必须无条件更换人员或设备，提高技术，完善质量，否则，采购人有权终止合同，并对成交供应商的违约行为进行追究。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1.成交供应商向采购人提交项目实施过程中的所有资料。 2.验收须以合同、竞争性磋商文件及竞争性磋商响应文件、澄清、及国家相应的标准、规范等为依据。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施工图设计评审完毕</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竣工验收完毕</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1、依据《中华人民共和国民法典》、《中华人民共和国政府采购法》的相关条款和本合同约定的相关条款执行。 2、成交供应商未按合同要求履行，不符合磋商技术要求，成交供应商必须无条件更换人员或设备，提高技术，完善质量，否则，采购人有权终止合同，并对成交供应商的违约行为进行追究。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六、磋商供应商资格证明文件.docx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六、磋商供应商资格证明文件.docx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六、磋商供应商资格证明文件.docx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六、磋商供应商资格证明文件.docx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经营主体</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六、磋商供应商资格证明文件.docx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法定代表人授权书及被授权人身份证（法定代表人直接参与，只须提交其身份证明）</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法定代表人授权书及被授权人身份证（法定代表人直接参与，只须提交其身份证明）</w:t>
            </w:r>
          </w:p>
        </w:tc>
        <w:tc>
          <w:tcPr>
            <w:tcW w:type="dxa" w:w="1661"/>
          </w:tcPr>
          <w:p>
            <w:pPr>
              <w:pStyle w:val="null3"/>
            </w:pPr>
            <w:r>
              <w:rPr>
                <w:rFonts w:ascii="仿宋_GB2312" w:hAnsi="仿宋_GB2312" w:cs="仿宋_GB2312" w:eastAsia="仿宋_GB2312"/>
              </w:rPr>
              <w:t>六、磋商供应商资格证明文件.docx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具备履行合同所必须的设备和专业技术能力的声明</w:t>
            </w:r>
          </w:p>
        </w:tc>
        <w:tc>
          <w:tcPr>
            <w:tcW w:type="dxa" w:w="1661"/>
          </w:tcPr>
          <w:p>
            <w:pPr>
              <w:pStyle w:val="null3"/>
            </w:pPr>
            <w:r>
              <w:rPr>
                <w:rFonts w:ascii="仿宋_GB2312" w:hAnsi="仿宋_GB2312" w:cs="仿宋_GB2312" w:eastAsia="仿宋_GB2312"/>
              </w:rPr>
              <w:t>六、磋商供应商资格证明文件.docx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磋商供应商在近三年经营活动中没有重大违法记录的声明</w:t>
            </w:r>
          </w:p>
        </w:tc>
        <w:tc>
          <w:tcPr>
            <w:tcW w:type="dxa" w:w="1661"/>
          </w:tcPr>
          <w:p>
            <w:pPr>
              <w:pStyle w:val="null3"/>
            </w:pPr>
            <w:r>
              <w:rPr>
                <w:rFonts w:ascii="仿宋_GB2312" w:hAnsi="仿宋_GB2312" w:cs="仿宋_GB2312" w:eastAsia="仿宋_GB2312"/>
              </w:rPr>
              <w:t>六、磋商供应商资格证明文件.docx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财务状况报告：提供2023年度经审计的财务报告（成立时间至提交响应文件截止时间不足一年的可提供成立后任意时段的资产负债表）或其递交响应文件截止之日前三个月内基本开户银行出具的资信证明</w:t>
            </w:r>
          </w:p>
        </w:tc>
        <w:tc>
          <w:tcPr>
            <w:tcW w:type="dxa" w:w="1661"/>
          </w:tcPr>
          <w:p>
            <w:pPr>
              <w:pStyle w:val="null3"/>
            </w:pPr>
            <w:r>
              <w:rPr>
                <w:rFonts w:ascii="仿宋_GB2312" w:hAnsi="仿宋_GB2312" w:cs="仿宋_GB2312" w:eastAsia="仿宋_GB2312"/>
              </w:rPr>
              <w:t>六、磋商供应商资格证明文件.docx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税收缴纳证明：磋商供应商提供已缴纳的2024年6月至今至少一个月的纳税证明或完税证明（任意税种）；依法免税的单位应提供相关文件证明</w:t>
            </w:r>
          </w:p>
        </w:tc>
        <w:tc>
          <w:tcPr>
            <w:tcW w:type="dxa" w:w="1661"/>
          </w:tcPr>
          <w:p>
            <w:pPr>
              <w:pStyle w:val="null3"/>
            </w:pPr>
            <w:r>
              <w:rPr>
                <w:rFonts w:ascii="仿宋_GB2312" w:hAnsi="仿宋_GB2312" w:cs="仿宋_GB2312" w:eastAsia="仿宋_GB2312"/>
              </w:rPr>
              <w:t>六、磋商供应商资格证明文件.docx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社会保障资金缴纳证明：磋商供应商提供已缴存的2024年6月至今至少一个月的社会保障资金缴存单据或社保机构开具的社会保险参保缴费情况证明，依法不需要缴纳社会保障资金的单位应提供相关证明材料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六、磋商供应商资格证明文件.docx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供应商具备工程设计综合甲级资质或市政行业设计（道路工程、排水工程）乙级及以上资质</w:t>
            </w:r>
          </w:p>
        </w:tc>
        <w:tc>
          <w:tcPr>
            <w:tcW w:type="dxa" w:w="1661"/>
          </w:tcPr>
          <w:p>
            <w:pPr>
              <w:pStyle w:val="null3"/>
            </w:pPr>
            <w:r>
              <w:rPr>
                <w:rFonts w:ascii="仿宋_GB2312" w:hAnsi="仿宋_GB2312" w:cs="仿宋_GB2312" w:eastAsia="仿宋_GB2312"/>
              </w:rPr>
              <w:t>六、磋商供应商资格证明文件.docx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项目负责人职称</w:t>
            </w:r>
          </w:p>
        </w:tc>
        <w:tc>
          <w:tcPr>
            <w:tcW w:type="dxa" w:w="3322"/>
          </w:tcPr>
          <w:p>
            <w:pPr>
              <w:pStyle w:val="null3"/>
            </w:pPr>
            <w:r>
              <w:rPr>
                <w:rFonts w:ascii="仿宋_GB2312" w:hAnsi="仿宋_GB2312" w:cs="仿宋_GB2312" w:eastAsia="仿宋_GB2312"/>
              </w:rPr>
              <w:t>拟派项目负责人具有市政工程相关专业高级或以上职称或具有注册公用设备工程师（给水排水）执业资格</w:t>
            </w:r>
          </w:p>
        </w:tc>
        <w:tc>
          <w:tcPr>
            <w:tcW w:type="dxa" w:w="1661"/>
          </w:tcPr>
          <w:p>
            <w:pPr>
              <w:pStyle w:val="null3"/>
            </w:pPr>
            <w:r>
              <w:rPr>
                <w:rFonts w:ascii="仿宋_GB2312" w:hAnsi="仿宋_GB2312" w:cs="仿宋_GB2312" w:eastAsia="仿宋_GB2312"/>
              </w:rPr>
              <w:t>六、磋商供应商资格证明文件.docx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磋商供应商不得为“信用中国”网站（www.creditchina.gov.cn）中列入失信被执行人和重大税收违法失信主体的磋商供应商，不得为中国政府采购网（www.ccgp.gov.cn）政府采购严重违法失信行为记录名单中被财政部门禁止参加政府采购活动的磋商供应商）（此条无需提供，采购代理机构在评标现场查询）</w:t>
            </w:r>
          </w:p>
        </w:tc>
        <w:tc>
          <w:tcPr>
            <w:tcW w:type="dxa" w:w="1661"/>
          </w:tcPr>
          <w:p>
            <w:pPr>
              <w:pStyle w:val="null3"/>
            </w:pPr>
            <w:r>
              <w:rPr>
                <w:rFonts w:ascii="仿宋_GB2312" w:hAnsi="仿宋_GB2312" w:cs="仿宋_GB2312" w:eastAsia="仿宋_GB2312"/>
              </w:rPr>
              <w:t>六、磋商供应商资格证明文件.docx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本项目不接受联合体磋商（提供非联合体承诺书）</w:t>
            </w:r>
          </w:p>
        </w:tc>
        <w:tc>
          <w:tcPr>
            <w:tcW w:type="dxa" w:w="1661"/>
          </w:tcPr>
          <w:p>
            <w:pPr>
              <w:pStyle w:val="null3"/>
            </w:pPr>
            <w:r>
              <w:rPr>
                <w:rFonts w:ascii="仿宋_GB2312" w:hAnsi="仿宋_GB2312" w:cs="仿宋_GB2312" w:eastAsia="仿宋_GB2312"/>
              </w:rPr>
              <w:t>六、磋商供应商资格证明文件.docx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本项目专门面向中小企业采购，非中小企业单位（监狱企业、残疾人福利单位除外）不得参与（提供中小企业声明函）</w:t>
            </w:r>
          </w:p>
        </w:tc>
        <w:tc>
          <w:tcPr>
            <w:tcW w:type="dxa" w:w="1661"/>
          </w:tcPr>
          <w:p>
            <w:pPr>
              <w:pStyle w:val="null3"/>
            </w:pPr>
            <w:r>
              <w:rPr>
                <w:rFonts w:ascii="仿宋_GB2312" w:hAnsi="仿宋_GB2312" w:cs="仿宋_GB2312" w:eastAsia="仿宋_GB2312"/>
              </w:rPr>
              <w:t>六、磋商供应商资格证明文件.docx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单位负责人为同一人或者存在控股、管理关系的不同单位不得同时磋商（提供磋商供应商企业关系关联承诺书）</w:t>
            </w:r>
          </w:p>
        </w:tc>
        <w:tc>
          <w:tcPr>
            <w:tcW w:type="dxa" w:w="1661"/>
          </w:tcPr>
          <w:p>
            <w:pPr>
              <w:pStyle w:val="null3"/>
            </w:pPr>
            <w:r>
              <w:rPr>
                <w:rFonts w:ascii="仿宋_GB2312" w:hAnsi="仿宋_GB2312" w:cs="仿宋_GB2312" w:eastAsia="仿宋_GB2312"/>
              </w:rPr>
              <w:t>六、磋商供应商资格证明文件.docx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一、磋商响应函.docx 二、第一次磋商报价表.docx 三、分项报价表.docx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磋商供应商名称与获取磋商文件的单位名称是否一致的</w:t>
            </w:r>
          </w:p>
        </w:tc>
        <w:tc>
          <w:tcPr>
            <w:tcW w:type="dxa" w:w="3322"/>
          </w:tcPr>
          <w:p>
            <w:pPr>
              <w:pStyle w:val="null3"/>
            </w:pPr>
            <w:r>
              <w:rPr>
                <w:rFonts w:ascii="仿宋_GB2312" w:hAnsi="仿宋_GB2312" w:cs="仿宋_GB2312" w:eastAsia="仿宋_GB2312"/>
              </w:rPr>
              <w:t>磋商供应商名称与获取磋商文件的单位名称一致的</w:t>
            </w:r>
          </w:p>
        </w:tc>
        <w:tc>
          <w:tcPr>
            <w:tcW w:type="dxa" w:w="1661"/>
          </w:tcPr>
          <w:p>
            <w:pPr>
              <w:pStyle w:val="null3"/>
            </w:pPr>
            <w:r>
              <w:rPr>
                <w:rFonts w:ascii="仿宋_GB2312" w:hAnsi="仿宋_GB2312" w:cs="仿宋_GB2312" w:eastAsia="仿宋_GB2312"/>
              </w:rPr>
              <w:t>响应文件封面 一、磋商响应函.docx 二、第一次磋商报价表.docx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磋商响应文件是否按照磋商文件规定要求签署、盖章的</w:t>
            </w:r>
          </w:p>
        </w:tc>
        <w:tc>
          <w:tcPr>
            <w:tcW w:type="dxa" w:w="3322"/>
          </w:tcPr>
          <w:p>
            <w:pPr>
              <w:pStyle w:val="null3"/>
            </w:pPr>
            <w:r>
              <w:rPr>
                <w:rFonts w:ascii="仿宋_GB2312" w:hAnsi="仿宋_GB2312" w:cs="仿宋_GB2312" w:eastAsia="仿宋_GB2312"/>
              </w:rPr>
              <w:t>磋商响应文件按照磋商文件规定要求签署、盖章的</w:t>
            </w:r>
          </w:p>
        </w:tc>
        <w:tc>
          <w:tcPr>
            <w:tcW w:type="dxa" w:w="1661"/>
          </w:tcPr>
          <w:p>
            <w:pPr>
              <w:pStyle w:val="null3"/>
            </w:pPr>
            <w:r>
              <w:rPr>
                <w:rFonts w:ascii="仿宋_GB2312" w:hAnsi="仿宋_GB2312" w:cs="仿宋_GB2312" w:eastAsia="仿宋_GB2312"/>
              </w:rPr>
              <w:t>响应文件封面 一、磋商响应函.docx 二、第一次磋商报价表.docx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响应有效期是否满足的磋商文件要求的</w:t>
            </w:r>
          </w:p>
        </w:tc>
        <w:tc>
          <w:tcPr>
            <w:tcW w:type="dxa" w:w="3322"/>
          </w:tcPr>
          <w:p>
            <w:pPr>
              <w:pStyle w:val="null3"/>
            </w:pPr>
            <w:r>
              <w:rPr>
                <w:rFonts w:ascii="仿宋_GB2312" w:hAnsi="仿宋_GB2312" w:cs="仿宋_GB2312" w:eastAsia="仿宋_GB2312"/>
              </w:rPr>
              <w:t>具有有效的响应有效期</w:t>
            </w:r>
          </w:p>
        </w:tc>
        <w:tc>
          <w:tcPr>
            <w:tcW w:type="dxa" w:w="1661"/>
          </w:tcPr>
          <w:p>
            <w:pPr>
              <w:pStyle w:val="null3"/>
            </w:pPr>
            <w:r>
              <w:rPr>
                <w:rFonts w:ascii="仿宋_GB2312" w:hAnsi="仿宋_GB2312" w:cs="仿宋_GB2312" w:eastAsia="仿宋_GB2312"/>
              </w:rPr>
              <w:t>响应文件封面 六、磋商供应商资格证明文件.docx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报价是否超过磋商文件中规定的预算金额或者最高限价的</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响应文件封面 一、磋商响应函.docx 三、分项报价表.docx 二、第一次磋商报价表.docx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磋商响应文件是否出现重大负偏离的</w:t>
            </w:r>
          </w:p>
        </w:tc>
        <w:tc>
          <w:tcPr>
            <w:tcW w:type="dxa" w:w="3322"/>
          </w:tcPr>
          <w:p>
            <w:pPr>
              <w:pStyle w:val="null3"/>
            </w:pPr>
            <w:r>
              <w:rPr>
                <w:rFonts w:ascii="仿宋_GB2312" w:hAnsi="仿宋_GB2312" w:cs="仿宋_GB2312" w:eastAsia="仿宋_GB2312"/>
              </w:rPr>
              <w:t>磋商响应文件未出现重大负偏离的</w:t>
            </w:r>
          </w:p>
        </w:tc>
        <w:tc>
          <w:tcPr>
            <w:tcW w:type="dxa" w:w="1661"/>
          </w:tcPr>
          <w:p>
            <w:pPr>
              <w:pStyle w:val="null3"/>
            </w:pPr>
            <w:r>
              <w:rPr>
                <w:rFonts w:ascii="仿宋_GB2312" w:hAnsi="仿宋_GB2312" w:cs="仿宋_GB2312" w:eastAsia="仿宋_GB2312"/>
              </w:rPr>
              <w:t>响应文件封面 五、磋商要求偏离表.docx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技术方案：针对本项目设计目标、规模、内容理解透彻，能对采购人的需求提供详细的整体设计方案,理念新颖、思路清晰。整体设计方案工作思路清晰、技术路线明确、任务分解合理得【12-20】分；整体设计方案工作思路较为清晰、技术路线较为明确、任务分解较为合理得【6-12）分；整体设计方案工作思路混乱、技术路线不明确、任务分解不合理得【0-6）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本项目拟投入人员的工作经验及组织架构满足项目需求。架构合理，人员配置齐全、岗位分配合理、团队人员经验 丰富，完全满足项目需求，计【7-10】分；架构基本完善，人员配置完整、有具体岗位分配、团队人员具有一定的经验，基本满足项目需求，计【4-7）分；人员配置欠缺、不利于项目实施的计【0-4）分。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根据本项目的服务内容，做出切实可行的服务承诺，确保项目能按时按质完成，达到服务要求且能保证项目质量。承诺内容清晰、承诺指标明确，后续服务具有可延续性，计【5-10】分；承诺及措施科学合理，基本满足项目需求，计【0-5）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项目理解：对项目背景理解到位，认识准确，掌握项目各项工作 要求，完全满足采购人需求，计【7-10】分；项目理解基本准确，了解 项目相关情况，基本能满足项目实际需求，计【4-7）分；项目理解不准确，不利于项目实施的，计【0-4）分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重点、难点分析：对本项目内容，重点难点理解深刻到位、分析 全面，应对措施科学合理、有针对性、可实施性的，计【7-10】分；重 点难点分析基本全面，应对措施基本合理，有一定可实施性的，计【4-7）分；重点难点分析不到位，应对措施简单的，计【0-4）分。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质量控制的保证措施</w:t>
            </w:r>
          </w:p>
        </w:tc>
        <w:tc>
          <w:tcPr>
            <w:tcW w:type="dxa" w:w="2492"/>
          </w:tcPr>
          <w:p>
            <w:pPr>
              <w:pStyle w:val="null3"/>
            </w:pPr>
            <w:r>
              <w:rPr>
                <w:rFonts w:ascii="仿宋_GB2312" w:hAnsi="仿宋_GB2312" w:cs="仿宋_GB2312" w:eastAsia="仿宋_GB2312"/>
              </w:rPr>
              <w:t>质量控制的保证措施：质量控制的保证措施完整、有力，根据响应情况得【7-10】分；质量控制的保证措施较为完整、有力，根据响应情况得【4-7）分；质量控制的保证措施一般，根据响应情况得【0-4）分。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进度计划及控制措施</w:t>
            </w:r>
          </w:p>
        </w:tc>
        <w:tc>
          <w:tcPr>
            <w:tcW w:type="dxa" w:w="2492"/>
          </w:tcPr>
          <w:p>
            <w:pPr>
              <w:pStyle w:val="null3"/>
            </w:pPr>
            <w:r>
              <w:rPr>
                <w:rFonts w:ascii="仿宋_GB2312" w:hAnsi="仿宋_GB2312" w:cs="仿宋_GB2312" w:eastAsia="仿宋_GB2312"/>
              </w:rPr>
              <w:t>进度计划及控制措施：提供满足招标需求的时间进度安排一览表或说明，要求时间进度安排详细完善、科学、合理。详细完善、科学、合理的时间保证措施。得【7-10】分；较完善、科学、合理的时间保证措施得【4-7）分；提供的时间保证措施不全或内容简单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供应商具有2022年1月1日以后类似业绩，每提供一个业绩得2分，满分6分。（以合同复印件加盖公章为依据）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七、其他资料.docx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合理化建议：针对本项目提供具体的合理化建议。建议科学合理、具有针对性、切实可行，计【2-4】分；建议基本合理，具有一定的可行性，计【0-2）分。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二、第一次磋商报价表.docx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一、磋商响应函.docx</w:t>
            </w:r>
          </w:p>
          <w:p>
            <w:pPr>
              <w:pStyle w:val="null3"/>
            </w:pPr>
            <w:r>
              <w:rPr>
                <w:rFonts w:ascii="仿宋_GB2312" w:hAnsi="仿宋_GB2312" w:cs="仿宋_GB2312" w:eastAsia="仿宋_GB2312"/>
              </w:rPr>
              <w:t>三、分项报价表.docx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详见附件：一、磋商响应函.docx</w:t>
      </w:r>
    </w:p>
    <w:p>
      <w:pPr>
        <w:pStyle w:val="null3"/>
        <w:ind w:firstLine="960"/>
      </w:pPr>
      <w:r>
        <w:rPr>
          <w:rFonts w:ascii="仿宋_GB2312" w:hAnsi="仿宋_GB2312" w:cs="仿宋_GB2312" w:eastAsia="仿宋_GB2312"/>
        </w:rPr>
        <w:t>详见附件：二、第一次磋商报价表.docx</w:t>
      </w:r>
    </w:p>
    <w:p>
      <w:pPr>
        <w:pStyle w:val="null3"/>
        <w:ind w:firstLine="960"/>
      </w:pPr>
      <w:r>
        <w:rPr>
          <w:rFonts w:ascii="仿宋_GB2312" w:hAnsi="仿宋_GB2312" w:cs="仿宋_GB2312" w:eastAsia="仿宋_GB2312"/>
        </w:rPr>
        <w:t>详见附件：三、分项报价表.docx</w:t>
      </w:r>
    </w:p>
    <w:p>
      <w:pPr>
        <w:pStyle w:val="null3"/>
        <w:ind w:firstLine="960"/>
      </w:pPr>
      <w:r>
        <w:rPr>
          <w:rFonts w:ascii="仿宋_GB2312" w:hAnsi="仿宋_GB2312" w:cs="仿宋_GB2312" w:eastAsia="仿宋_GB2312"/>
        </w:rPr>
        <w:t>详见附件：四、磋商方案说明.docx</w:t>
      </w:r>
    </w:p>
    <w:p>
      <w:pPr>
        <w:pStyle w:val="null3"/>
        <w:ind w:firstLine="960"/>
      </w:pPr>
      <w:r>
        <w:rPr>
          <w:rFonts w:ascii="仿宋_GB2312" w:hAnsi="仿宋_GB2312" w:cs="仿宋_GB2312" w:eastAsia="仿宋_GB2312"/>
        </w:rPr>
        <w:t>详见附件：五、磋商要求偏离表.docx</w:t>
      </w:r>
    </w:p>
    <w:p>
      <w:pPr>
        <w:pStyle w:val="null3"/>
        <w:ind w:firstLine="960"/>
      </w:pPr>
      <w:r>
        <w:rPr>
          <w:rFonts w:ascii="仿宋_GB2312" w:hAnsi="仿宋_GB2312" w:cs="仿宋_GB2312" w:eastAsia="仿宋_GB2312"/>
        </w:rPr>
        <w:t>详见附件：六、磋商供应商资格证明文件.docx</w:t>
      </w:r>
    </w:p>
    <w:p>
      <w:pPr>
        <w:pStyle w:val="null3"/>
        <w:ind w:firstLine="960"/>
      </w:pPr>
      <w:r>
        <w:rPr>
          <w:rFonts w:ascii="仿宋_GB2312" w:hAnsi="仿宋_GB2312" w:cs="仿宋_GB2312" w:eastAsia="仿宋_GB2312"/>
        </w:rPr>
        <w:t>详见附件：七、其他资料.docx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