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版本号：SXXYZB2025-CS00220250226001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2024年新区城市道路地下空洞检测项目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SXXYZB2025-CS002</w:t>
      </w:r>
      <w:r>
        <w:br/>
      </w:r>
      <w:r>
        <w:br/>
      </w:r>
      <w:r>
        <w:br/>
      </w:r>
    </w:p>
    <w:p>
      <w:pPr>
        <w:pStyle w:val="null3"/>
        <w:jc w:val="center"/>
        <w:outlineLvl w:val="2"/>
      </w:pPr>
      <w:r>
        <w:rPr>
          <w:rFonts w:ascii="仿宋_GB2312" w:hAnsi="仿宋_GB2312" w:cs="仿宋_GB2312" w:eastAsia="仿宋_GB2312"/>
          <w:sz w:val="28"/>
          <w:b/>
        </w:rPr>
        <w:t>铜川市城市管理执法局新耀分局</w:t>
      </w:r>
    </w:p>
    <w:p>
      <w:pPr>
        <w:pStyle w:val="null3"/>
        <w:jc w:val="center"/>
        <w:outlineLvl w:val="2"/>
      </w:pPr>
      <w:r>
        <w:rPr>
          <w:rFonts w:ascii="仿宋_GB2312" w:hAnsi="仿宋_GB2312" w:cs="仿宋_GB2312" w:eastAsia="仿宋_GB2312"/>
          <w:sz w:val="28"/>
          <w:b/>
        </w:rPr>
        <w:t>陕西鑫越项目咨询管理有限公司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陕西鑫越项目咨询管理有限公司</w:t>
      </w:r>
      <w:r>
        <w:rPr>
          <w:rFonts w:ascii="仿宋_GB2312" w:hAnsi="仿宋_GB2312" w:cs="仿宋_GB2312" w:eastAsia="仿宋_GB2312"/>
        </w:rPr>
        <w:t>（以下简称“代理机构”）受</w:t>
      </w:r>
      <w:r>
        <w:rPr>
          <w:rFonts w:ascii="仿宋_GB2312" w:hAnsi="仿宋_GB2312" w:cs="仿宋_GB2312" w:eastAsia="仿宋_GB2312"/>
        </w:rPr>
        <w:t>铜川市城市管理执法局新耀分局</w:t>
      </w:r>
      <w:r>
        <w:rPr>
          <w:rFonts w:ascii="仿宋_GB2312" w:hAnsi="仿宋_GB2312" w:cs="仿宋_GB2312" w:eastAsia="仿宋_GB2312"/>
        </w:rPr>
        <w:t>委托，拟对</w:t>
      </w:r>
      <w:r>
        <w:rPr>
          <w:rFonts w:ascii="仿宋_GB2312" w:hAnsi="仿宋_GB2312" w:cs="仿宋_GB2312" w:eastAsia="仿宋_GB2312"/>
        </w:rPr>
        <w:t>2024年新区城市道路地下空洞检测项目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SXXYZB2025-CS002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2024年新区城市道路地下空洞检测项目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为确保新区城市道路主次干道运行安全，采用探地雷达对新区主城区范围内正阳路、朝阳路、斯正街、长丰南路等 10余条市政道路150km测线地下空洞病害体进行安全性检测，查清路面下方存在的空洞、脱空区、疏松区及富水区等地 下病害体，绘制地下空洞分布图，为城市道路地下病害治理与决策提供基础数据。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2023年度经审计的财务会计报告（至少包括审计报告、资产负债表和利润表，成立时间至提交响应文件截止时间不足一年的可提供成立后任意时段的资产负债表），或其磋商前三个月内基本存款账户开户银行出具的资信证明及基本存款账户开户许可证或开户银行打印的含有企业基本存款账户编号的《基本存款账户信息》；</w:t>
      </w:r>
    </w:p>
    <w:p>
      <w:pPr>
        <w:pStyle w:val="null3"/>
      </w:pPr>
      <w:r>
        <w:rPr>
          <w:rFonts w:ascii="仿宋_GB2312" w:hAnsi="仿宋_GB2312" w:cs="仿宋_GB2312" w:eastAsia="仿宋_GB2312"/>
        </w:rPr>
        <w:t>3、税收缴纳证明：提供投标文件递交截止时间前六个月内已缴纳 的至少一个月的有效缴税凭证；（依法免税的 申请人应提供相关文件证明）；</w:t>
      </w:r>
    </w:p>
    <w:p>
      <w:pPr>
        <w:pStyle w:val="null3"/>
      </w:pPr>
      <w:r>
        <w:rPr>
          <w:rFonts w:ascii="仿宋_GB2312" w:hAnsi="仿宋_GB2312" w:cs="仿宋_GB2312" w:eastAsia="仿宋_GB2312"/>
        </w:rPr>
        <w:t>4、社会保障资金缴纳证明：提供投标文件递交截止时间前六个月内已缴存 的至少一个月的有效缴存单据或社保机构开具 的社会保险参保缴费情况证明；（依法不需要 缴纳社会保障资金的申请人应提供相关证明） ；</w:t>
      </w:r>
    </w:p>
    <w:p>
      <w:pPr>
        <w:pStyle w:val="null3"/>
      </w:pPr>
      <w:r>
        <w:rPr>
          <w:rFonts w:ascii="仿宋_GB2312" w:hAnsi="仿宋_GB2312" w:cs="仿宋_GB2312" w:eastAsia="仿宋_GB2312"/>
        </w:rPr>
        <w:t>5、设备和专业技术能力：具备履行合同所必需的设备和专业技术能力的 证明材料；</w:t>
      </w:r>
    </w:p>
    <w:p>
      <w:pPr>
        <w:pStyle w:val="null3"/>
      </w:pPr>
      <w:r>
        <w:rPr>
          <w:rFonts w:ascii="仿宋_GB2312" w:hAnsi="仿宋_GB2312" w:cs="仿宋_GB2312" w:eastAsia="仿宋_GB2312"/>
        </w:rPr>
        <w:t>6、重大违法记录：近3年内在经营活动中没有重大违纪的书面声明 ；</w:t>
      </w:r>
    </w:p>
    <w:p>
      <w:pPr>
        <w:pStyle w:val="null3"/>
      </w:pPr>
      <w:r>
        <w:rPr>
          <w:rFonts w:ascii="仿宋_GB2312" w:hAnsi="仿宋_GB2312" w:cs="仿宋_GB2312" w:eastAsia="仿宋_GB2312"/>
        </w:rPr>
        <w:t>7、法定代表人授权书：供应商应授权合法的人员参加采购活动全过程 ，其中法定代表人直接参加采购活动的，须出 具法定代表人身份证，并与营业执照上信息一 致。法定代表人授权代表参加采购活动的，须 出具法定代表人授权书及授权代表身份证；</w:t>
      </w:r>
    </w:p>
    <w:p>
      <w:pPr>
        <w:pStyle w:val="null3"/>
      </w:pPr>
      <w:r>
        <w:rPr>
          <w:rFonts w:ascii="仿宋_GB2312" w:hAnsi="仿宋_GB2312" w:cs="仿宋_GB2312" w:eastAsia="仿宋_GB2312"/>
        </w:rPr>
        <w:t>8、信用查询：在“信用中国”网站（www.creditchina.gov.cn ）和“中国政府采购网”（ccgp.gov.cn）对响 应单位信用信息进行查询，如果响应单位被查 实在开标前已列入失信被执行人、重大税收违 法案件当事人名单、政府采购严重违法失信行 为记录名单，其响应为无效；</w:t>
      </w:r>
    </w:p>
    <w:p>
      <w:pPr>
        <w:pStyle w:val="null3"/>
      </w:pPr>
      <w:r>
        <w:rPr>
          <w:rFonts w:ascii="仿宋_GB2312" w:hAnsi="仿宋_GB2312" w:cs="仿宋_GB2312" w:eastAsia="仿宋_GB2312"/>
        </w:rPr>
        <w:t>9、企业资质：具有行政主管部门颁发在有效期内的乙级及以上测绘资质证书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铜川市城市管理执法局新耀分局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铜川市新区长虹路9号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铜川市城市管理执法局新耀分局经办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13992980803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陕西鑫越项目咨询管理有限公司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西安市莲湖区青年路69号（教师进修学校西隔壁）四楼407号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15691003700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采购包1：668,800.00元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代理服务费收费标准：代理服务费收费标准：（1）招标代理服务费按约定由成交单位支付，成交单位在领取成交通知 书前，须向采购代理机构提交招标代理服务费。 （2）招标代理服务费参照国家发展与改革委 员会《招标代理服务收费暂行办法》（计价格[2002]1980号）和国家发展改革委（发改价格[2 003]857号）文件规定标准结合市场调节价计取。 （3）采购代理服务费交纳信息户 名：陕西 鑫越项目咨询管理有限公司 开户银行：中国银行股份有限公司西安市经济技术开发区支行 账 号：102498878202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铜川市城市管理执法局新耀分局</w:t>
      </w:r>
      <w:r>
        <w:rPr>
          <w:rFonts w:ascii="仿宋_GB2312" w:hAnsi="仿宋_GB2312" w:cs="仿宋_GB2312" w:eastAsia="仿宋_GB2312"/>
        </w:rPr>
        <w:t>和</w:t>
      </w:r>
      <w:r>
        <w:rPr>
          <w:rFonts w:ascii="仿宋_GB2312" w:hAnsi="仿宋_GB2312" w:cs="仿宋_GB2312" w:eastAsia="仿宋_GB2312"/>
        </w:rPr>
        <w:t>陕西鑫越项目咨询管理有限公司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铜川市城市管理执法局新耀分局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陕西鑫越项目咨询管理有限公司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铜川市城市管理执法局新耀分局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陕西鑫越项目咨询管理有限公司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满足采购人需求及相关行业要求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陕西鑫越项目咨询管理有限公司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陕西鑫越项目咨询管理有限公司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陕西鑫越项目咨询管理有限公司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联系电话：15691003700</w:t>
      </w:r>
    </w:p>
    <w:p>
      <w:pPr>
        <w:pStyle w:val="null3"/>
      </w:pPr>
      <w:r>
        <w:rPr>
          <w:rFonts w:ascii="仿宋_GB2312" w:hAnsi="仿宋_GB2312" w:cs="仿宋_GB2312" w:eastAsia="仿宋_GB2312"/>
        </w:rPr>
        <w:t>地址：西安市莲湖区青年路69号（教师进修学校西隔壁）四楼407号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2022年陕西省住建厅印发了《陕西省城市道路地下安全隐患专项整治三年行动方案（2022-2024年）》，要求在规划、建设、运行各环节上进行科学管理，对城市道路地下安全隐患进行全面排查治理。切实做好全省城市道路塌陷事故的防控工作，保障城市道路安全畅通，确保人民群众“脚下安全”。以防范城市道路塌陷为工作重点，以科学勘测检测为主要手段，切实消除城市道路地下安全隐患，坚决遏制城市道路塌陷特大事故发生，严格防控道路塌陷较大事故，有效减少道路塌陷一般事故。 依据《铜川市城市道路安全隐患专项整治三年行动方案(2022-2024)的通知》(铜城执发(2022)23号)要求及市城市管理局工作安排，为确保新区城市道路主次干道运行安全，采用探地雷达对新区主城区范围内正阳路、朝阳路、斯正街、长丰南路等10余条市政道路150km测线地下空洞病害体进行安全性检测，查清路面下方存在的空洞、脱空区、疏松区及富水区等地下病害体，绘制地下空洞分布图，为城市道路地下病害治理与决策提供基础数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668,800.00</w:t>
      </w:r>
    </w:p>
    <w:p>
      <w:pPr>
        <w:pStyle w:val="null3"/>
      </w:pPr>
      <w:r>
        <w:rPr>
          <w:rFonts w:ascii="仿宋_GB2312" w:hAnsi="仿宋_GB2312" w:cs="仿宋_GB2312" w:eastAsia="仿宋_GB2312"/>
        </w:rPr>
        <w:t>采购包最高限价（元）: 668,800.00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2024年新区城市道路地下空洞检测项目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668,800.00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标的名称：2024年新区城市道路地下空洞检测项目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600"/>
            </w:pPr>
            <w:r>
              <w:rPr>
                <w:rFonts w:ascii="仿宋_GB2312" w:hAnsi="仿宋_GB2312" w:cs="仿宋_GB2312" w:eastAsia="仿宋_GB2312"/>
                <w:sz w:val="24"/>
              </w:rPr>
              <w:t>符合国家及行业相关的雷达探测的技术规范要求，包括并不仅限于：</w:t>
            </w:r>
          </w:p>
          <w:p>
            <w:pPr>
              <w:pStyle w:val="null3"/>
              <w:ind w:firstLine="496"/>
              <w:jc w:val="both"/>
            </w:pPr>
            <w:r>
              <w:rPr>
                <w:rFonts w:ascii="仿宋_GB2312" w:hAnsi="仿宋_GB2312" w:cs="仿宋_GB2312" w:eastAsia="仿宋_GB2312"/>
                <w:sz w:val="24"/>
              </w:rPr>
              <w:t>（</w:t>
            </w:r>
            <w:r>
              <w:rPr>
                <w:rFonts w:ascii="仿宋_GB2312" w:hAnsi="仿宋_GB2312" w:cs="仿宋_GB2312" w:eastAsia="仿宋_GB2312"/>
                <w:sz w:val="24"/>
              </w:rPr>
              <w:t>1）《城市地下病害体综合探测与风险评估技术标准》JGJ/T-437-2018；</w:t>
            </w:r>
          </w:p>
          <w:p>
            <w:pPr>
              <w:pStyle w:val="null3"/>
              <w:ind w:firstLine="496"/>
              <w:jc w:val="both"/>
            </w:pPr>
            <w:r>
              <w:rPr>
                <w:rFonts w:ascii="仿宋_GB2312" w:hAnsi="仿宋_GB2312" w:cs="仿宋_GB2312" w:eastAsia="仿宋_GB2312"/>
                <w:sz w:val="24"/>
              </w:rPr>
              <w:t>（</w:t>
            </w:r>
            <w:r>
              <w:rPr>
                <w:rFonts w:ascii="仿宋_GB2312" w:hAnsi="仿宋_GB2312" w:cs="仿宋_GB2312" w:eastAsia="仿宋_GB2312"/>
                <w:sz w:val="24"/>
              </w:rPr>
              <w:t>2）《城市工程地球物理探测规范》CJJ/T-7-2017；</w:t>
            </w:r>
          </w:p>
          <w:p>
            <w:pPr>
              <w:pStyle w:val="null3"/>
              <w:ind w:firstLine="496"/>
              <w:jc w:val="both"/>
            </w:pPr>
            <w:r>
              <w:rPr>
                <w:rFonts w:ascii="仿宋_GB2312" w:hAnsi="仿宋_GB2312" w:cs="仿宋_GB2312" w:eastAsia="仿宋_GB2312"/>
                <w:sz w:val="24"/>
              </w:rPr>
              <w:t>（</w:t>
            </w:r>
            <w:r>
              <w:rPr>
                <w:rFonts w:ascii="仿宋_GB2312" w:hAnsi="仿宋_GB2312" w:cs="仿宋_GB2312" w:eastAsia="仿宋_GB2312"/>
                <w:sz w:val="24"/>
              </w:rPr>
              <w:t>3）《岩土工程勘察规范》GB50021-2001(2009年版)；</w:t>
            </w:r>
          </w:p>
          <w:p>
            <w:pPr>
              <w:pStyle w:val="null3"/>
              <w:ind w:firstLine="496"/>
              <w:jc w:val="both"/>
            </w:pPr>
            <w:r>
              <w:rPr>
                <w:rFonts w:ascii="仿宋_GB2312" w:hAnsi="仿宋_GB2312" w:cs="仿宋_GB2312" w:eastAsia="仿宋_GB2312"/>
                <w:sz w:val="24"/>
              </w:rPr>
              <w:t>（</w:t>
            </w:r>
            <w:r>
              <w:rPr>
                <w:rFonts w:ascii="仿宋_GB2312" w:hAnsi="仿宋_GB2312" w:cs="仿宋_GB2312" w:eastAsia="仿宋_GB2312"/>
                <w:sz w:val="24"/>
              </w:rPr>
              <w:t>4）《道路三维探地雷达探测技术规程》T/CAS516-2021；</w:t>
            </w:r>
          </w:p>
          <w:p>
            <w:pPr>
              <w:pStyle w:val="null3"/>
              <w:ind w:firstLine="496"/>
              <w:jc w:val="both"/>
            </w:pPr>
            <w:r>
              <w:rPr>
                <w:rFonts w:ascii="仿宋_GB2312" w:hAnsi="仿宋_GB2312" w:cs="仿宋_GB2312" w:eastAsia="仿宋_GB2312"/>
                <w:sz w:val="24"/>
              </w:rPr>
              <w:t>（</w:t>
            </w:r>
            <w:r>
              <w:rPr>
                <w:rFonts w:ascii="仿宋_GB2312" w:hAnsi="仿宋_GB2312" w:cs="仿宋_GB2312" w:eastAsia="仿宋_GB2312"/>
                <w:sz w:val="24"/>
              </w:rPr>
              <w:t>5）《建筑工程地质勘探与取样技术规程》JGJ/T-87-2012；</w:t>
            </w:r>
          </w:p>
          <w:p>
            <w:pPr>
              <w:pStyle w:val="null3"/>
              <w:ind w:firstLine="496"/>
              <w:jc w:val="both"/>
            </w:pPr>
            <w:r>
              <w:rPr>
                <w:rFonts w:ascii="仿宋_GB2312" w:hAnsi="仿宋_GB2312" w:cs="仿宋_GB2312" w:eastAsia="仿宋_GB2312"/>
                <w:sz w:val="24"/>
              </w:rPr>
              <w:t>（</w:t>
            </w:r>
            <w:r>
              <w:rPr>
                <w:rFonts w:ascii="仿宋_GB2312" w:hAnsi="仿宋_GB2312" w:cs="仿宋_GB2312" w:eastAsia="仿宋_GB2312"/>
                <w:sz w:val="24"/>
              </w:rPr>
              <w:t>6）《城市测量规范》GB50026-2019；</w:t>
            </w:r>
          </w:p>
          <w:p>
            <w:pPr>
              <w:pStyle w:val="null3"/>
              <w:ind w:firstLine="496"/>
              <w:jc w:val="both"/>
            </w:pPr>
            <w:r>
              <w:rPr>
                <w:rFonts w:ascii="仿宋_GB2312" w:hAnsi="仿宋_GB2312" w:cs="仿宋_GB2312" w:eastAsia="仿宋_GB2312"/>
                <w:sz w:val="24"/>
              </w:rPr>
              <w:t>（</w:t>
            </w:r>
            <w:r>
              <w:rPr>
                <w:rFonts w:ascii="仿宋_GB2312" w:hAnsi="仿宋_GB2312" w:cs="仿宋_GB2312" w:eastAsia="仿宋_GB2312"/>
                <w:sz w:val="24"/>
              </w:rPr>
              <w:t>7）《城市地下管线探测技术规程》CJJ61-2017；</w:t>
            </w:r>
          </w:p>
          <w:p>
            <w:pPr>
              <w:pStyle w:val="null3"/>
              <w:ind w:firstLine="496"/>
              <w:jc w:val="both"/>
            </w:pPr>
            <w:r>
              <w:rPr>
                <w:rFonts w:ascii="仿宋_GB2312" w:hAnsi="仿宋_GB2312" w:cs="仿宋_GB2312" w:eastAsia="仿宋_GB2312"/>
                <w:sz w:val="24"/>
              </w:rPr>
              <w:t>（</w:t>
            </w:r>
            <w:r>
              <w:rPr>
                <w:rFonts w:ascii="仿宋_GB2312" w:hAnsi="仿宋_GB2312" w:cs="仿宋_GB2312" w:eastAsia="仿宋_GB2312"/>
                <w:sz w:val="24"/>
              </w:rPr>
              <w:t>8）《国家基本比例尺地图图式第1部分：1:500-1:1000-1:2000地形图图式》GB/T-20257.1-2007；</w:t>
            </w:r>
          </w:p>
          <w:p>
            <w:pPr>
              <w:pStyle w:val="null3"/>
              <w:ind w:firstLine="496"/>
              <w:jc w:val="both"/>
            </w:pPr>
            <w:r>
              <w:rPr>
                <w:rFonts w:ascii="仿宋_GB2312" w:hAnsi="仿宋_GB2312" w:cs="仿宋_GB2312" w:eastAsia="仿宋_GB2312"/>
                <w:sz w:val="24"/>
              </w:rPr>
              <w:t>（</w:t>
            </w:r>
            <w:r>
              <w:rPr>
                <w:rFonts w:ascii="仿宋_GB2312" w:hAnsi="仿宋_GB2312" w:cs="仿宋_GB2312" w:eastAsia="仿宋_GB2312"/>
                <w:sz w:val="24"/>
              </w:rPr>
              <w:t>9）《城市排水许可管理办法》建设部令第152号；</w:t>
            </w:r>
          </w:p>
          <w:p>
            <w:pPr>
              <w:pStyle w:val="null3"/>
              <w:ind w:firstLine="496"/>
              <w:jc w:val="both"/>
            </w:pPr>
            <w:r>
              <w:rPr>
                <w:rFonts w:ascii="仿宋_GB2312" w:hAnsi="仿宋_GB2312" w:cs="仿宋_GB2312" w:eastAsia="仿宋_GB2312"/>
                <w:sz w:val="24"/>
              </w:rPr>
              <w:t>（</w:t>
            </w:r>
            <w:r>
              <w:rPr>
                <w:rFonts w:ascii="仿宋_GB2312" w:hAnsi="仿宋_GB2312" w:cs="仿宋_GB2312" w:eastAsia="仿宋_GB2312"/>
                <w:sz w:val="24"/>
              </w:rPr>
              <w:t>10）《城市排水监测工作管理规定》建城字第[1992]886号；</w:t>
            </w:r>
          </w:p>
          <w:p>
            <w:pPr>
              <w:pStyle w:val="null3"/>
              <w:ind w:firstLine="498"/>
              <w:jc w:val="both"/>
            </w:pPr>
            <w:r>
              <w:rPr>
                <w:rFonts w:ascii="仿宋_GB2312" w:hAnsi="仿宋_GB2312" w:cs="仿宋_GB2312" w:eastAsia="仿宋_GB2312"/>
                <w:sz w:val="24"/>
                <w:b/>
              </w:rPr>
              <w:t>成果资料</w:t>
            </w:r>
          </w:p>
          <w:p>
            <w:pPr>
              <w:pStyle w:val="null3"/>
              <w:ind w:firstLine="496"/>
              <w:jc w:val="both"/>
            </w:pPr>
            <w:r>
              <w:rPr>
                <w:rFonts w:ascii="仿宋_GB2312" w:hAnsi="仿宋_GB2312" w:cs="仿宋_GB2312" w:eastAsia="仿宋_GB2312"/>
                <w:sz w:val="24"/>
              </w:rPr>
              <w:t>雷达探测原始数据、病害体探测成果报告、病害体图集和属性表、病害体分布图</w:t>
            </w:r>
          </w:p>
          <w:p>
            <w:pPr>
              <w:pStyle w:val="null3"/>
            </w:pPr>
            <w:r>
              <w:rPr>
                <w:rFonts w:ascii="仿宋_GB2312" w:hAnsi="仿宋_GB2312" w:cs="仿宋_GB2312" w:eastAsia="仿宋_GB2312"/>
              </w:rPr>
              <w:t xml:space="preserve"> </w:t>
            </w:r>
          </w:p>
          <w:p>
            <w:pPr>
              <w:pStyle w:val="null3"/>
              <w:ind w:firstLine="600"/>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满足采购人需求及相关行业要求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验收合格且项目决算评审完成及财政拨款到位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根据《民法典》中的相关条款和磋商文件要求及合同约定执行。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非联合体承诺书.docx 服务内容及服务邀请应答表 商务应答表 标的清单 报价表 响应函 资格证明文件.docx 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供应商直接控股和管理关系清单.docx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会计报告（至少包括审计报告、资产负债表和利润表，成立时间至提交响应文件截止时间不足一年的可提供成立后任意时段的资产负债表），或其磋商前三个月内基本存款账户开户银行出具的资信证明及基本存款账户开户许可证或开户银行打印的含有企业基本存款账户编号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提供投标文件递交截止时间前六个月内已缴纳 的至少一个月的有效缴税凭证；（依法免税的 申请人应提供相关文件证明）；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提供投标文件递交截止时间前六个月内已缴存 的至少一个月的有效缴存单据或社保机构开具 的社会保险参保缴费情况证明；（依法不需要 缴纳社会保障资金的申请人应提供相关证明）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具备履行合同所必需的设备和专业技术能力的 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w:t>
            </w:r>
          </w:p>
        </w:tc>
        <w:tc>
          <w:tcPr>
            <w:tcW w:type="dxa" w:w="3322"/>
          </w:tcPr>
          <w:p>
            <w:pPr>
              <w:pStyle w:val="null3"/>
            </w:pPr>
            <w:r>
              <w:rPr>
                <w:rFonts w:ascii="仿宋_GB2312" w:hAnsi="仿宋_GB2312" w:cs="仿宋_GB2312" w:eastAsia="仿宋_GB2312"/>
              </w:rPr>
              <w:t>近3年内在经营活动中没有重大违纪的书面声明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供应商应授权合法的人员参加采购活动全过程 ，其中法定代表人直接参加采购活动的，须出 具法定代表人身份证，并与营业执照上信息一 致。法定代表人授权代表参加采购活动的，须 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 ）和“中国政府采购网”（ccgp.gov.cn）对响 应单位信用信息进行查询，如果响应单位被查 实在开标前已列入失信被执行人、重大税收违 法案件当事人名单、政府采购严重违法失信行 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具有行政主管部门颁发在有效期内的乙级及以上测绘资质证书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按“磋商响应文件格式”要求签字盖章</w:t>
            </w:r>
          </w:p>
        </w:tc>
        <w:tc>
          <w:tcPr>
            <w:tcW w:type="dxa" w:w="1661"/>
          </w:tcPr>
          <w:p>
            <w:pPr>
              <w:pStyle w:val="null3"/>
            </w:pPr>
            <w:r>
              <w:rPr>
                <w:rFonts w:ascii="仿宋_GB2312" w:hAnsi="仿宋_GB2312" w:cs="仿宋_GB2312" w:eastAsia="仿宋_GB2312"/>
              </w:rPr>
              <w:t>响应文件封面 非联合体承诺书.docx 服务内容及服务邀请应答表 供应商类似项目业绩一览表.docx 商务应答表 标的清单 报价表 供应商直接控股和管理关系清单.docx 响应函 资格证明文件.docx 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符合招标文件要求</w:t>
            </w:r>
          </w:p>
        </w:tc>
        <w:tc>
          <w:tcPr>
            <w:tcW w:type="dxa" w:w="3322"/>
          </w:tcPr>
          <w:p>
            <w:pPr>
              <w:pStyle w:val="null3"/>
            </w:pPr>
            <w:r>
              <w:rPr>
                <w:rFonts w:ascii="仿宋_GB2312" w:hAnsi="仿宋_GB2312" w:cs="仿宋_GB2312" w:eastAsia="仿宋_GB2312"/>
              </w:rPr>
              <w:t>磋商响应文件内容应全面响应磋商文件要求， 且无未实质性响应及无效标的情形</w:t>
            </w:r>
          </w:p>
        </w:tc>
        <w:tc>
          <w:tcPr>
            <w:tcW w:type="dxa" w:w="1661"/>
          </w:tcPr>
          <w:p>
            <w:pPr>
              <w:pStyle w:val="null3"/>
            </w:pPr>
            <w:r>
              <w:rPr>
                <w:rFonts w:ascii="仿宋_GB2312" w:hAnsi="仿宋_GB2312" w:cs="仿宋_GB2312" w:eastAsia="仿宋_GB2312"/>
              </w:rPr>
              <w:t>响应文件封面 非联合体承诺书.docx 服务内容及服务邀请应答表 供应商类似项目业绩一览表.docx 商务应答表 标的清单 报价表 供应商直接控股和管理关系清单.docx 响应函 资格证明文件.docx 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且每轮报价不超过最高限价金额或磋商小组认 为低于成本价的报价。</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项目内容理解和描述</w:t>
            </w:r>
          </w:p>
        </w:tc>
        <w:tc>
          <w:tcPr>
            <w:tcW w:type="dxa" w:w="2492"/>
          </w:tcPr>
          <w:p>
            <w:pPr>
              <w:pStyle w:val="null3"/>
            </w:pPr>
            <w:r>
              <w:rPr>
                <w:rFonts w:ascii="仿宋_GB2312" w:hAnsi="仿宋_GB2312" w:cs="仿宋_GB2312" w:eastAsia="仿宋_GB2312"/>
              </w:rPr>
              <w:t>根据供应商对本项目背景、现状的理解、对项目目标、任务理解及对项目内容理解情况进行综合评审。对项目理解和描述深刻，认识全面，切合项目情况，得7～9分； 项目理解和描述较深刻，认识较全面，与项目情况较切合，得4～6分； 项目理解和描述一般，认识不全面，与项目关联度一般，得1～3分；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工作方法</w:t>
            </w:r>
          </w:p>
        </w:tc>
        <w:tc>
          <w:tcPr>
            <w:tcW w:type="dxa" w:w="2492"/>
          </w:tcPr>
          <w:p>
            <w:pPr>
              <w:pStyle w:val="null3"/>
            </w:pPr>
            <w:r>
              <w:rPr>
                <w:rFonts w:ascii="仿宋_GB2312" w:hAnsi="仿宋_GB2312" w:cs="仿宋_GB2312" w:eastAsia="仿宋_GB2312"/>
              </w:rPr>
              <w:t>工作方法清晰、全面，针对性强、可操作性强的，得11～15分； 工作方法较为清晰、较为全面，针对性、可操作性较为强的，得6～10分； 工作方法基本清晰、基本全面，针对性、可操作性一般的，得1～5分；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供应商对本项目的工作进度安排：工作进度安排详细、科学、合理、切实可行，得7～9分； 工作进度安排较为详细、较为科学、较为合理、较为切实可行，得4～6分； 工作进度安排详细性一般、科学性一般、合理性一般、可行性一般，得1～3分；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针对本项目服务过程中可能出现的恶性天气、汛期、人为因素等特殊或突发事件有相应的应急预案及补救措施； 应急预案完备健全，科学性强、合理性强、可行性强的，得7～9分； 应急预案较为完备健全，科学性较为强、合理性强好、可行性较为强的，得4～6分； 应急预案完备健全一般，科学性较一般、合理性一般、可行性较一般的，得1～3分；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具有完善的工作质量保障措施。质量保障措施全面、合理、可行性强，得7～9分； 质量保障措施较为全面、较为合理、可行性较强，得4～6分； 质量保障措施基本全面、基本合理、可行性一般，得1～3分；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售后服务方案详细、具体，可行性强，得7～9分； 售后服务方案较为详细，较为具体，可行性较强，得4～6分； 售后服务方案简单，不具体，可行性一般的，得1～3分；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拟投入人员配备方案</w:t>
            </w:r>
          </w:p>
        </w:tc>
        <w:tc>
          <w:tcPr>
            <w:tcW w:type="dxa" w:w="2492"/>
          </w:tcPr>
          <w:p>
            <w:pPr>
              <w:pStyle w:val="null3"/>
            </w:pPr>
            <w:r>
              <w:rPr>
                <w:rFonts w:ascii="仿宋_GB2312" w:hAnsi="仿宋_GB2312" w:cs="仿宋_GB2312" w:eastAsia="仿宋_GB2312"/>
              </w:rPr>
              <w:t>按投入项目专业力量人员架构的经验水平，提供相关证明材料（包括但不限于与本项目相关专业的职称证或学历证）。 人员力量及架构科学、合理、专业，提供职称证或学历证等材料完整得(9-12]分； 人员力量及架构较科学、合理、专业，提供职称证或学历证等材料较为完整得(5-8]分； 人员力量薄弱、架构简单、提供职称证或学历证等材料不全得[1-4]分。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项目设备配置</w:t>
            </w:r>
          </w:p>
        </w:tc>
        <w:tc>
          <w:tcPr>
            <w:tcW w:type="dxa" w:w="2492"/>
          </w:tcPr>
          <w:p>
            <w:pPr>
              <w:pStyle w:val="null3"/>
            </w:pPr>
            <w:r>
              <w:rPr>
                <w:rFonts w:ascii="仿宋_GB2312" w:hAnsi="仿宋_GB2312" w:cs="仿宋_GB2312" w:eastAsia="仿宋_GB2312"/>
              </w:rPr>
              <w:t>1、具有全站仪设备1台得2分，最多得2分。 2、具有二维雷达设备1台得2分，最多得2分。 3、具有三维雷达设备1台得5分，最多得5分。 注：要求以上设备为自有设备，须提供购买设备发票复印件并加盖单位公章，未提供或材料不合格者不得分。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具有2020年1月1日以来承担过类似项目业绩以合同为准（时间以合同签订时间为准），每提供一个得3分，最多得6分。 注：须提供项目合同复印件并加盖单位公章，未提供或材料不合格者不得分。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拟投入项目负责人具备测绘高级职称证书得3分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 ：价格分采用低价优先法计算，即满足招标文件要求且最终投标价格最低的投标报价为 评标基准价，其价格分为满分。其他投标人的价格分统一按照下列公式计算：投标报价 得分=（评标基准价/最终磋商报价）×价格权值×100% （因落实政府采购政策进行价 格调整的，以调整后的价格计算评标基准价和投标报价，详见政府采购政策评分标准）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详见附件：供应商直接控股和管理关系清单.docx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详见附件：非联合体承诺书.docx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