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版本号：TCZFCG-2025-0006420250307001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TCZFCG-2025-00064</w:t>
      </w:r>
      <w:r>
        <w:br/>
      </w:r>
      <w:r>
        <w:br/>
      </w:r>
      <w:r>
        <w:br/>
      </w:r>
    </w:p>
    <w:p>
      <w:pPr>
        <w:pStyle w:val="null3"/>
        <w:jc w:val="center"/>
        <w:outlineLvl w:val="2"/>
      </w:pPr>
      <w:r>
        <w:rPr>
          <w:rFonts w:ascii="仿宋_GB2312" w:hAnsi="仿宋_GB2312" w:cs="仿宋_GB2312" w:eastAsia="仿宋_GB2312"/>
          <w:sz w:val="28"/>
          <w:b/>
        </w:rPr>
        <w:t>铜川市消防救援支队</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铜川市消防救援支队</w:t>
      </w:r>
      <w:r>
        <w:rPr>
          <w:rFonts w:ascii="仿宋_GB2312" w:hAnsi="仿宋_GB2312" w:cs="仿宋_GB2312" w:eastAsia="仿宋_GB2312"/>
        </w:rPr>
        <w:t>委托，拟对</w:t>
      </w:r>
      <w:r>
        <w:rPr>
          <w:rFonts w:ascii="仿宋_GB2312" w:hAnsi="仿宋_GB2312" w:cs="仿宋_GB2312" w:eastAsia="仿宋_GB2312"/>
        </w:rPr>
        <w:t>物业管理服务采购项目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TCZFCG-2025-00064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物业管理服务采购项目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铜川市消防救援支队营区内共有楼房3栋，建筑面积11122.12㎡，会议室建筑面积 632㎡，室外绿地面积约3000㎡。单位实有人数88人。为进一步提升队伍的战斗力和保障能力，改善指战员生活条件，建立健全日常物业管理工作机制，持续构建与支队营区正规化相适应的社会化保障管理服务模式，确保支队物业服务周期接续、不断层。我单位拟聘用1家社会物业服务管理有限公司提供机关餐厅管理、给养服务、会议服务、公共区域保洁、营区秩序维护、停车管理、设备维修、设施维保、绿化养护、道路保养等服务。 综合服务标准：物业管理人员配备合理，岗位责任制明确；管理服务人员统一着装，服务主动热情，服务规范符合铜川市物业管理行业规范要求；服务人员要求身体健康，工作认真负责。环境卫生保洁服务：确保办公场所、公共楼道、楼梯、道路、绿地、明沟、广场、停车场、室外标识、宣传栏、信报箱、路灯、楼道灯、共用部位玻璃等部位整洁有序。绿化养护服务：有专人实施绿化养护管理；确保花草树木生长整齐，适时养护；发现杂草半个月内清除；有效控制杂草孳生；无垃圾、烟头、纸屑等杂物；根据气假状况和季节，适时浇灌和松土、花草树木长良好；定期检查营区花草树木草坪有无病虫害。秩序维护及安防管理服务：按要求进行巡逻安防、出入口管理、监控与报警处理、安全防范宣传等工作，提高其安全意识。 会议服务：会前准备、会中服务、会后清理等工作；餐厅管理秩序维护：职工餐厅主要保障工作日内职工早、午、晚餐，同时根据需要安排接待餐；厨师按照接待餐标准订制菜单，出品菜式保证色、香、味俱全;根据用餐人员多少配备服务人员，在客人用餐期间做好服务工作，待客人用餐结束后收拾好卫生关好门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采购包1（铜川市消防救援支队物业管理服务项目）：属于专门面向中小企业采购。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铜川市消防救援支队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铜川市新区咸丰路东段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0919-3182373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采购包1：915,200.00元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铜川市消防救援支队</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铜川市消防救援支队</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铜川市消防救援支队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物业综合服务：餐厅管理、给养服务、公共区域保洁、营区秩序维护、停车管理、设备维修、设施维保、绿化养护、道路保养等。 环境卫生保洁服务：1.按幢设置垃圾桶，其它公共场所根据实际情况合理设置果皮箱或垃圾桶，并实行垃圾袋装。每日清运2次；2.道路、绿地明沟、广场、停车场等部位，每日清扫1次；3.公共楼道、楼梯，每日清扫1次，每周至少拖洗1次；4.共用部位玻璃、室外标识、宣传栏、信报箱等，每半月至少清洁1次；5.路灯、楼道灯等，每月至少清洁1次；6.共用雨、污管道、污水管道等：平时经常检查，发现堵塞及时清掏，保持畅通；7.消毒灭害：建立消杀工作管理制度;适时投放消杀药物;有效控制鼠、蟑、蚊、蝇等害虫孳生；8.保洁巡查：随时进行保洁巡查，楼道内无乱悬持、乱贴乱画、乱。堆放，无明显暴露垃圾、无卫生死角等现象。 房屋及公共设施设备维修维护：1.房屋外观：完好、整洁，符合原设计要求。无任何违章装修、违章搭建，公共区域无乱张贴悬挂现象；2.房屋结构：按照甲方有关规定等要求，建立完善的装饰装修管理制度。装修前，依规定告知装修人有关装修的禁止行为和注意事项。每周巡查一次装修施工现场，并有记录。发现影响房屋外观、危及房屋结构安全及拆改共用管线等损害公共利益现象的，及时劝阻并报告甲方和有关行政主管部门；3.房屋维修：根据房屋实际使用年限，属于大、中修范围的，每年至少一次编制维修计划和专项维修资金使用计划，向甲方提出报告与建议，根据甲方的决定，组织维修；4.公共部位管理：每半年编制一次房屋等共用部位日常管理和维修养护计划，每日至少巡查一次甲方办公楼和住宅楼设施、楼梯通道以及其他共用部位的门窗、玻璃、消防器材及甲方的表井盖、雨水井花、草、树木等做好巡查记录，有损坏的一周内恢复正常。并及时维修养护，维修率达70%以上，巡查维修记录和保养记录齐全；5.养护制度：共用设施设备运行维修养护制度健全，每年编制共用设施设备运行维修养护计划，并建立用设施设备档案，共用设施设备运行、检查修、保养记录齐全；6.运行情况：设施设备运行正常，维护良好；设施设备标志全、规范，容易危及人身安全的设施设备有明警示标志和防范措施；7.公用设施设备维修：每周至少三次对公用设施设备组织巡查，做好查记录；需要维修，属于小修范围的，一周内组织修理；属于大、中修范围或者需要更新改造的及时编制维修、更新改造计划和住房专项维修金使用计划，向甲方提出报告建议，根据甲方决定，及时组织织修或者更新改造；8.设备房管理：设备房保持整洁、通风，无跑、冒、滴、漏和鼠害现象；9.照明设备：每周至少三次检查路灯、楼道灯等；10.水、电：接到相关部门停水、停电通知;按规定时间在甲方单位醒目处提前通知大家。 绿化养护服务：1.有专人实施绿化养护管理；2.花草树木生长整齐，适时养护；3.草坪生长整齐，发现杂草半个月内清除；有效控制杂草孳生；无垃圾、烟头、纸屑等杂物；4.根据气假状况和季节，适时浇灌和松土、花草树木长良好；5.定期检查花草树木草坪有无病虫害。 秩序维护及安防管理服务：1.巡逻安防：定时对区域内公共区域、重点部位巡逻，检查门窗、水电设施等是否安全，发现异常及时处理并报告。注意发现安全隐患如消防通道堵塞、路灯损坏等；2.出入口管理：在出入口值守，对进出人员、车辆验证、登记、换证。阻止无关人员、车辆进入，维持出入口交通秩序，确保畅通；3.监控与报警处理：监控室值班人员24小时监控画面，发现异常及时通知巡逻人员查看处理。接到报警信号迅速核实，按应急预案处理；4.安全防范宣传：通过公告栏、宣传资料等方式向大家宣传安全防范知识，提高其安全意识。 会议服务：1.会前准备：调好室内温度、湿度、灯光，保证通风良好。布置需在会前半小时完成并全面检查；资料物品准备：按要求摆放会议资料、纸笔，适量准备饮用水、茶杯等，会前半小时全部就位；2.会中服务：茶水服务：会议开始20分钟后首次续水，之后每隔10分钟续水一次，动作轻缓；秩序维护：保持会议室周边安静，阻止无关人员进入。处理突发情况，维持会议秩序；3.会后清理： 资料整理：及时回收剩余资料，按要求整理或销毁；场地清理：清理桌面垃圾，归位桌椅，清洁地面，确保场地整洁。 餐厅管理秩序维护：1.要求工作人员，身体健康（必须持有健康证），工作认真负责，对甲方日常护卫事项做出正确反应；2.职工餐厅主要保障工作日内职工早、午、晚餐同时根据需要安排接待餐；3.物业服务公司提供人力资源及职工餐厅运营服务(包含但不限于人员招聘、培训、工装、住宿、日常餐厅整理管理，根据采购人需求安排日常工作日内早、午、晚餐，及接待餐服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铜川市消防救援支队</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铜川市消防救援支队营区内共有楼房3栋，建筑面积11122.12㎡，会议室建筑面积 632㎡，室外绿地面积约3000㎡。单位实有人数88人。为进一步提升队伍的战斗力和保障能力，改善指战员生活条件，建立健全日常物业管理工作机制，持续构建与支队营区正规化相适应的社会化保障管理服务模式，确保支队物业服务周期接续、不断层。我单位拟聘用1家社会物业服务管理有限公司提供机关餐厅管理、给养服务、会议服务、公共区域保洁、营区秩序维护、停车管理、设备维修、设施维保、绿化养护、道路保养等服务。 综合服务标准：物业管理人员配备合理，岗位责任制明确；管理服务人员统一着装，服务主动热情，服务规范符合铜川市物业管理行业规范要求；服务人员要求身体健康，工作认真负责。环境卫生保洁服务：确保办公场所、公共楼道、楼梯、道路、绿地、明沟、广场、停车场、室外标识、宣传栏、信报箱、路灯、楼道灯、共用部位玻璃等部位整洁有序。绿化养护服务：有专人实施绿化养护管理；确保花草树木生长整齐，适时养护；发现杂草半个月内清除；有效控制杂草孳生；无垃圾、烟头、纸屑等杂物；根据气假状况和季节，适时浇灌和松土、花草树木长良好；定期检查营区花草树木草坪有无病虫害。秩序维护及安防管理服务：按要求进行巡逻安防、出入口管理、监控与报警处理、安全防范宣传等工作，提高其安全意识。 会议服务：会前准备、会中服务、会后清理等工作；餐厅管理秩序维护：职工餐厅主要保障工作日内职工早、午、晚餐，同时根据需要安排接待餐；厨师按照接待餐标准订制菜单，出品菜式保证色、香、味俱全;根据用餐人员多少配备服务人员，在客人用餐期间做好服务工作，待客人用餐结束后收拾好卫生关好门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915,200.00</w:t>
      </w:r>
    </w:p>
    <w:p>
      <w:pPr>
        <w:pStyle w:val="null3"/>
      </w:pPr>
      <w:r>
        <w:rPr>
          <w:rFonts w:ascii="仿宋_GB2312" w:hAnsi="仿宋_GB2312" w:cs="仿宋_GB2312" w:eastAsia="仿宋_GB2312"/>
        </w:rPr>
        <w:t>采购包最高限价（元）: 915,200.00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铜川市消防救援支队2025年物业管理服务采购项目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915,200.00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标的名称：铜川市消防救援支队2025年物业管理服务采购项目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后厨人员</w:t>
            </w:r>
          </w:p>
        </w:tc>
        <w:tc>
          <w:tcPr>
            <w:tcW w:type="dxa" w:w="2076"/>
          </w:tcPr>
          <w:p>
            <w:pPr>
              <w:pStyle w:val="null3"/>
            </w:pPr>
            <w:r>
              <w:rPr>
                <w:rFonts w:ascii="仿宋_GB2312" w:hAnsi="仿宋_GB2312" w:cs="仿宋_GB2312" w:eastAsia="仿宋_GB2312"/>
              </w:rPr>
              <w:t>后厨工作人员必须有健康证。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项目主管1人、保洁（含绿化养护）8人、会议服务1人、维修班1人、门卫3人、厨房人员8人。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自中标合同签订之日起一年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陕西省铜川市新区咸丰路东段</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服务期满后，甲方进行验收，确认服务标准和服务方式是否达到采购要求（必要时甲方可委托相关领域专家对项目进行验收），并顺利办理交接。 （一）磋商文件、响应文件、澄清表（函）； （二）本合同及附件文本； （三）合同签订时国家及行业现行的标准和技术规范。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生效之日起开始计算，以3个月为一个付款周期，本合同共分4个付款周期。乙方按甲方要求履行相应义务之后，在每个支付周期到期前10个工作日内，向甲方提供合法有效的等额增值税发票，经甲方检验无误符合付款条件后，甲方向乙方支付相应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第二个付款周期到期前10个工作内，乙方向甲方提供合法有效的等额增值税发票，经甲方检验无误符合付款条件后，甲方向乙方支付至合同总金额的50%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第三个付款周期到期前10个工作内，乙方向甲方提供合法有效的等额增值税发票，经甲方检验无误符合付款条件后，甲方向乙方支付至合同总金额的75%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第四个付款周期到期前10个工作内，乙方向甲方提供合法有效的等额增值税发票，经甲方检验无误符合付款条件后，甲方向乙方支付至合同总金额的100%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(一)按《中华人民共和国民法典》中的相关条款执行。 (二)未按合同要求提供服务或服务质量不能满足合同要求，甲方有权依据《中华人民共和国民法典》有关条款及合同约定终止合同，并要求乙方承担违约责任。 (三)如因甲方原因，造成乙方未完成规定管理目标或直接造成乙方经济损失的，甲方应给予乙方相应经济补偿。 (四)乙方不认真履行合同条款或因其它理由突然终止合同，视为乙方单方违约。 (五)如因在管理服务期间，甲方未能按时支付乙方物业管理费而导致乙方不能正常提供日常服务工作的，其责任由甲方负责。 (六)乙方服务人员在工作中因故意或疏忽而出现的责任事故，因乙方原因造成他人人身伤害、财产损失及严重损害甲方声誉的，由乙方承担所有赔偿责任且甲方有权单方面解除合同。 (七)乙方或服务人员违反合同所约定之义务，影响合同约定区域的安全或导致甲方其他方面损害，由乙方承担相应责任。经甲方三次警告仍无整改，甲方有权单方面终止合同，无需承担任何责任。 (八)甲、乙双方任意一方无正当理由不能提前终止合同，否则 给对方造成的经济损失应给予补偿。 争议解决： 执行本合同中产生纠纷，由甲方与乙方双方协商解决;协商不成，向甲方所在地人民法院提起诉讼。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购买服务期限：合同签订之日起生效 ,计1年。服务期限到期，后两年服务，在采购单位对上年度服务验收合格后，按照政府采购相关要求。通过续签合同方式进行。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营业执照、健全的财务会计制度、依法缴纳税收和社会保障资金、履行合同所必需的设备和专业技术能力。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度经审计的财务会计报告（包括审计报告、资产负债表、利润表、现金流量表、所有者权益变动表及其附注，成立时间至提交磋商文件截止时间不足一年的可提供成立后任意时段的资产负债表），或其磋商前六个月内基本存款账户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 残疾人福利性单位声明函 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 方案</w:t>
            </w:r>
          </w:p>
        </w:tc>
        <w:tc>
          <w:tcPr>
            <w:tcW w:type="dxa" w:w="2492"/>
          </w:tcPr>
          <w:p>
            <w:pPr>
              <w:pStyle w:val="null3"/>
            </w:pPr>
            <w:r>
              <w:rPr>
                <w:rFonts w:ascii="仿宋_GB2312" w:hAnsi="仿宋_GB2312" w:cs="仿宋_GB2312" w:eastAsia="仿宋_GB2312"/>
              </w:rPr>
              <w:t>针对本项目要求提出物业服务定位、目标，详细列出服务工作计划，并按照标准化实施服务管理，针对本次采购项目采购内容及要求（会议服务、餐厅管理、安防巡逻、环境卫生管理、绿化养护管理、设施设备的维修养护管理等方面），对各投标单位响应文件中，服务方案、服务目标、服务内容等完整性、科学性、合理性进行综合评审。根据各投标单位响应情况：计0-20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编制项目管理机构、工作职能组织运行图，阐述项目经理的管理职责、内部管理的职责分工，日常管理制度完善、程序规范，符合项目实际需求，根据各投标单位响应情况计0-10分。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根据投标人的服务优惠、服务承诺的合理性、便利性、可行性进行评价，由评标委员会综合评审后赋分。按其响应程度计0-10分。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能够提供自2022年1月至今公共物业服务的业绩，每项计2分，本项最高得8分（加盖鲜章的合同复印件或加盖鲜章中标通知书，否则不得分）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评委对响应文件中的人员配备、培训情况、岗位职责等提供相关资质证书及科学性、合理性、措施资料的计0-7分。在符合磋商文件人员要求的前提下每增1人加1分，最高加3分。（服务本项目所有工作人员须提供健康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针对各种突发事件的应急预案全面、具体、可实施性进行评审，0-12分，由评委酌情打分。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结合项目实施地点实际情况，根据投标人对本项目总体理解及认识，对投标单位的自身服务优势、服务特点等内容由评标委员会综合评审后赋分。计0-10分。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经资格评审合格的服务商的最低报价为基准价。 服务商投标报价等于基准价得20分； 其他各供应商的报价得分按下列公式计算：（基准价/投标报价）×10％×100。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