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版本号：GZH-ZB-20250300820250318001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核心业务系统运维服务项目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GZH-ZB-202503008</w:t>
      </w:r>
      <w:r>
        <w:br/>
      </w:r>
      <w:r>
        <w:br/>
      </w:r>
      <w:r>
        <w:br/>
      </w:r>
    </w:p>
    <w:p>
      <w:pPr>
        <w:pStyle w:val="null3"/>
        <w:jc w:val="center"/>
        <w:outlineLvl w:val="5"/>
      </w:pPr>
      <w:r>
        <w:rPr>
          <w:rFonts w:ascii="仿宋_GB2312" w:hAnsi="仿宋_GB2312" w:cs="仿宋_GB2312" w:eastAsia="仿宋_GB2312"/>
          <w:sz w:val="15"/>
          <w:b/>
        </w:rPr>
        <w:t>铜川市住房公积金管理中心</w:t>
      </w:r>
    </w:p>
    <w:p>
      <w:pPr>
        <w:pStyle w:val="null3"/>
        <w:jc w:val="center"/>
        <w:outlineLvl w:val="5"/>
      </w:pPr>
      <w:r>
        <w:rPr>
          <w:rFonts w:ascii="仿宋_GB2312" w:hAnsi="仿宋_GB2312" w:cs="仿宋_GB2312" w:eastAsia="仿宋_GB2312"/>
          <w:sz w:val="15"/>
          <w:b/>
        </w:rPr>
        <w:t>陕西国中恒工程项目管理有限公司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铜川市住房公积金管理中心</w:t>
      </w:r>
      <w:r>
        <w:rPr>
          <w:rFonts w:ascii="仿宋_GB2312" w:hAnsi="仿宋_GB2312" w:cs="仿宋_GB2312" w:eastAsia="仿宋_GB2312"/>
        </w:rPr>
        <w:t>委托，拟对</w:t>
      </w:r>
      <w:r>
        <w:rPr>
          <w:rFonts w:ascii="仿宋_GB2312" w:hAnsi="仿宋_GB2312" w:cs="仿宋_GB2312" w:eastAsia="仿宋_GB2312"/>
        </w:rPr>
        <w:t>核心业务系统运维服务项目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GZH-ZB-202503008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核心业务系统运维服务项目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拟对铜川市住房公积金管理中心的核心业务系统采购运维服务。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响应文件截止时间不足一年的可提供成立后任意时段的资产负债表），或其递交响应文件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法人的分支机构参与投标时，除提供《法定代表人（主要负责人）授权委托书》外，还须同时提供法人给分支机构出具的授权书。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铜川市住房公积金管理中心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铜川市新区华原东道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0919-3286298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代理服务费收费标准：根据国家发展改革委关于降低部分建设项目收费标准规范收费行为等有关问题的通知（发改价格[2011]534号）标准计取，经计算不足6000的，按6000计取。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铜川市住房公积金管理中心</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铜川市住房公积金管理中心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采购文件、响应文件及铜川市政府采购相关验收规定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拟对铜川市住房公积金管理中心的核心业务系统采购运维服务。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标的名称：600000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核心业务系统运维服务</w:t>
            </w:r>
          </w:p>
        </w:tc>
        <w:tc>
          <w:tcPr>
            <w:tcW w:type="dxa" w:w="2076"/>
          </w:tcPr>
          <w:p>
            <w:pPr>
              <w:pStyle w:val="null3"/>
            </w:pPr>
            <w:r>
              <w:rPr>
                <w:rFonts w:ascii="仿宋_GB2312" w:hAnsi="仿宋_GB2312" w:cs="仿宋_GB2312" w:eastAsia="仿宋_GB2312"/>
              </w:rPr>
              <w:t>运维服务对象：中心核心业务系统</w:t>
            </w:r>
          </w:p>
          <w:p>
            <w:pPr>
              <w:pStyle w:val="null3"/>
            </w:pPr>
            <w:r>
              <w:rPr>
                <w:rFonts w:ascii="仿宋_GB2312" w:hAnsi="仿宋_GB2312" w:cs="仿宋_GB2312" w:eastAsia="仿宋_GB2312"/>
              </w:rPr>
              <w:t>服务内容：保障住房公积金信息系统平稳运行，保障住房公积金业务正常办理，使系统功能与住房公积金政策及国家要求保持一致。运维服务内容包括但不限于硬件系统支撑运维，操作系统及软件应用运维，功能需求优化升级服务、数据库运维、政策性优化应用系统服务、系统安全管理和安全巡检服务、数据管理和备份恢复服务、人员培训等。</w:t>
            </w:r>
          </w:p>
          <w:p>
            <w:pPr>
              <w:pStyle w:val="null3"/>
            </w:pPr>
            <w:r>
              <w:rPr>
                <w:rFonts w:ascii="仿宋_GB2312" w:hAnsi="仿宋_GB2312" w:cs="仿宋_GB2312" w:eastAsia="仿宋_GB2312"/>
              </w:rPr>
              <w:t>运维方式：运维采取人员驻场维护及远程技术维护的方式，每季度提供1次巡检服务，驻场人员提供5×8小时现场运维服务，客户服务热线提供7*24小时服务，如遇突发事件，远程技术维护服务响应时间不超过3个小时，技术工程师在接到服务单后到场响应不超过4小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具有满足本项目实施的技术人员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具有满足本项目实施的设施设备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服务期满前一个月</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1.符合采购人与成交供应商签订的服务合同； 2.符合采购文件、采购需求的技术服务要求、商务要求，以及符合供应商的响应文件及磋商结果； 3.符合产品原样本技术数据； 4.符合国家有关技术规范和标准； 5.验收方式 甲乙双方共同参照采购文件、响应文件、合同和承诺条款的有关内容、配置要求等，甲方在收到乙方验收通知书及相关验收资料后通知乙方，甲乙双方共同对系统进行验收，并由乙方将验收报告提交甲方。 验收工作由甲方、财政部门及相关专家共同完成，经相关负责人确认验收通过并签字、盖章，则视为甲乙双方确认验收通过。验收过程和步骤应符合财政部门的有关规定，符合使用单位要求。除非甲方以书面方式同意予以免除，否则对于合同中约定的硬件产品，甲方均有权选择单独，或要求乙方协助对产品加电联通进行测试性运行或使用，以确定产品是否符合本合同约定。 7.甲方对交付成果提出异议的，乙方应在接到异议之日起5个工作日内，选择以下一种或多种方式解决异议，相应的异议处理方式应经甲方认可： 1）上门修复、调试； 2）指定时间内免费更新到品质、性能更优良的软件系统。</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验收时，乙方未按约定完成本协议约定的维保服务的，或未按约定提供软件产品更新、补丁、版本升级的，甲方有权要求乙方继续履行或采取补救措施，甲方同时有权就每一违约事件按照总价款的 10％向乙方收取违约金，违约金不足以补偿甲方损失的，乙方还应当赔偿甲方相应损失；乙方违约行为给甲方造成重大损失的，甲方同时有权解除本协议。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成交供应商在成交结果公告后3日内将3份与上传响应文件一致的纸质版响应文件递交代理机构。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响应文件截止时间不足一年的可提供成立后任意时段的资产负债表），或其递交响应文件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响应文件截止时间不足一年的可提供成立后任意时段的资产负债表），或其递交响应文件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磋商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合同文本条款响应.docx 商务应答表 服务方案 标的清单 报价表 响应函 供应商承诺书.docx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响应文件的签章均符合采购文件要求，且无遗漏。</w:t>
            </w:r>
          </w:p>
        </w:tc>
        <w:tc>
          <w:tcPr>
            <w:tcW w:type="dxa" w:w="1661"/>
          </w:tcPr>
          <w:p>
            <w:pPr>
              <w:pStyle w:val="null3"/>
            </w:pPr>
            <w:r>
              <w:rPr>
                <w:rFonts w:ascii="仿宋_GB2312" w:hAnsi="仿宋_GB2312" w:cs="仿宋_GB2312" w:eastAsia="仿宋_GB2312"/>
              </w:rPr>
              <w:t>响应文件封面 合同文本条款响应.docx 标的清单 报价表 响应函 供应商承诺书.docx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同时满足以下条款：（1）货币单位符合采购文件要求 ；（2）报价符合唯一性要求； （3）未超出采购预算或最高限价 ；（4）符合《报价表》及《标的清单》的填报要求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完全理解并接受对合格供应商、合格的货物、工程或服务要求，结合采购文件第三章“采购项目技术、服务、商务及其他要求”的实质性要求且没有实质性负偏离。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服务方案</w:t>
            </w:r>
          </w:p>
        </w:tc>
        <w:tc>
          <w:tcPr>
            <w:tcW w:type="dxa" w:w="3322"/>
          </w:tcPr>
          <w:p>
            <w:pPr>
              <w:pStyle w:val="null3"/>
            </w:pPr>
            <w:r>
              <w:rPr>
                <w:rFonts w:ascii="仿宋_GB2312" w:hAnsi="仿宋_GB2312" w:cs="仿宋_GB2312" w:eastAsia="仿宋_GB2312"/>
              </w:rPr>
              <w:t>具有满足本项目实施需要的服务方案</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