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8E6166">
      <w:pPr>
        <w:pStyle w:val="3"/>
        <w:numPr>
          <w:ilvl w:val="0"/>
          <w:numId w:val="0"/>
        </w:numPr>
        <w:spacing w:line="360" w:lineRule="auto"/>
        <w:rPr>
          <w:rFonts w:ascii="宋体" w:hAnsi="宋体" w:cs="宋体"/>
          <w:color w:val="auto"/>
        </w:rPr>
      </w:pPr>
      <w:bookmarkStart w:id="0" w:name="_Toc5202"/>
      <w:r>
        <w:rPr>
          <w:rFonts w:hint="eastAsia" w:ascii="宋体" w:hAnsi="宋体" w:cs="宋体"/>
          <w:color w:val="auto"/>
          <w:lang w:val="en-US" w:eastAsia="zh-CN"/>
        </w:rPr>
        <w:t>合同文本</w:t>
      </w:r>
      <w:bookmarkEnd w:id="0"/>
    </w:p>
    <w:p w14:paraId="381949BE">
      <w:pPr>
        <w:rPr>
          <w:rFonts w:ascii="宋体" w:hAnsi="宋体" w:eastAsia="宋体" w:cs="宋体"/>
          <w:color w:val="auto"/>
          <w:sz w:val="21"/>
          <w:szCs w:val="21"/>
        </w:rPr>
      </w:pPr>
      <w:bookmarkStart w:id="1" w:name="_Toc295114403"/>
      <w:bookmarkStart w:id="2" w:name="_Toc29433"/>
    </w:p>
    <w:bookmarkEnd w:id="1"/>
    <w:bookmarkEnd w:id="2"/>
    <w:p w14:paraId="440B078C">
      <w:pPr>
        <w:ind w:firstLine="420" w:firstLineChars="200"/>
        <w:rPr>
          <w:rFonts w:ascii="宋体" w:hAnsi="宋体" w:eastAsia="宋体" w:cs="宋体"/>
          <w:color w:val="auto"/>
          <w:sz w:val="21"/>
          <w:szCs w:val="21"/>
          <w:u w:val="single"/>
        </w:rPr>
      </w:pPr>
      <w:r>
        <w:rPr>
          <w:rFonts w:hint="eastAsia" w:ascii="宋体" w:hAnsi="宋体" w:eastAsia="宋体" w:cs="宋体"/>
          <w:color w:val="auto"/>
          <w:kern w:val="0"/>
          <w:sz w:val="21"/>
          <w:szCs w:val="21"/>
        </w:rPr>
        <w:t>采购人（甲方）</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铜川市住房公积金管理中心 </w:t>
      </w:r>
      <w:r>
        <w:rPr>
          <w:rFonts w:hint="eastAsia" w:ascii="宋体" w:hAnsi="宋体" w:eastAsia="宋体" w:cs="宋体"/>
          <w:color w:val="auto"/>
          <w:sz w:val="21"/>
          <w:szCs w:val="21"/>
        </w:rPr>
        <w:t>(以下简称：“甲方”)</w:t>
      </w:r>
    </w:p>
    <w:p w14:paraId="3350D2FA">
      <w:pPr>
        <w:ind w:firstLine="420" w:firstLineChars="200"/>
        <w:rPr>
          <w:rFonts w:ascii="宋体" w:hAnsi="宋体" w:eastAsia="宋体" w:cs="宋体"/>
          <w:color w:val="auto"/>
          <w:sz w:val="21"/>
          <w:szCs w:val="21"/>
        </w:rPr>
      </w:pPr>
      <w:r>
        <w:rPr>
          <w:rFonts w:hint="eastAsia" w:ascii="宋体" w:hAnsi="宋体" w:eastAsia="宋体" w:cs="宋体"/>
          <w:color w:val="auto"/>
          <w:kern w:val="0"/>
          <w:sz w:val="21"/>
          <w:szCs w:val="21"/>
        </w:rPr>
        <w:t>供应商（乙方）</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(以下简称：“乙方”)                          　　 </w:t>
      </w:r>
    </w:p>
    <w:p w14:paraId="29460633">
      <w:pPr>
        <w:ind w:firstLine="420" w:firstLineChars="200"/>
        <w:rPr>
          <w:rFonts w:hint="eastAsia" w:ascii="宋体" w:hAnsi="宋体" w:eastAsia="宋体" w:cs="宋体"/>
          <w:color w:val="auto"/>
          <w:sz w:val="21"/>
          <w:szCs w:val="21"/>
        </w:rPr>
      </w:pPr>
    </w:p>
    <w:p w14:paraId="22AA49DC">
      <w:pPr>
        <w:ind w:firstLine="420" w:firstLineChars="200"/>
        <w:rPr>
          <w:rFonts w:ascii="宋体" w:hAnsi="宋体" w:eastAsia="宋体" w:cs="宋体"/>
          <w:color w:val="auto"/>
          <w:sz w:val="21"/>
          <w:szCs w:val="21"/>
        </w:rPr>
      </w:pPr>
      <w:r>
        <w:rPr>
          <w:rFonts w:hint="eastAsia" w:ascii="宋体" w:hAnsi="宋体" w:eastAsia="宋体" w:cs="宋体"/>
          <w:color w:val="auto"/>
          <w:sz w:val="21"/>
          <w:szCs w:val="21"/>
        </w:rPr>
        <w:t>根据《中华人民共和国民法典》等有关法律法规规定，</w:t>
      </w:r>
      <w:r>
        <w:rPr>
          <w:rFonts w:hint="eastAsia" w:ascii="宋体" w:hAnsi="宋体" w:eastAsia="宋体" w:cs="宋体"/>
          <w:color w:val="auto"/>
          <w:sz w:val="21"/>
          <w:szCs w:val="21"/>
          <w:u w:val="single"/>
        </w:rPr>
        <w:t>铜川市住房公积金管理中心</w:t>
      </w:r>
      <w:r>
        <w:rPr>
          <w:rFonts w:hint="eastAsia" w:ascii="宋体" w:hAnsi="宋体" w:eastAsia="宋体" w:cs="宋体"/>
          <w:color w:val="auto"/>
          <w:sz w:val="21"/>
          <w:szCs w:val="21"/>
        </w:rPr>
        <w:t>（采购人全称）通过</w:t>
      </w:r>
      <w:r>
        <w:rPr>
          <w:rFonts w:hint="eastAsia" w:ascii="宋体" w:hAnsi="宋体" w:eastAsia="宋体" w:cs="宋体"/>
          <w:color w:val="auto"/>
          <w:sz w:val="21"/>
          <w:szCs w:val="21"/>
          <w:lang w:val="en-US" w:eastAsia="zh-CN"/>
        </w:rPr>
        <w:t>单一来源采购</w:t>
      </w:r>
      <w:r>
        <w:rPr>
          <w:rFonts w:hint="eastAsia" w:ascii="宋体" w:hAnsi="宋体" w:eastAsia="宋体" w:cs="宋体"/>
          <w:color w:val="auto"/>
          <w:sz w:val="21"/>
          <w:szCs w:val="21"/>
        </w:rPr>
        <w:t>方式确定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（供应商全称）为</w:t>
      </w:r>
      <w:r>
        <w:rPr>
          <w:rFonts w:hint="eastAsia" w:ascii="宋体" w:hAnsi="宋体" w:eastAsia="宋体" w:cs="宋体"/>
          <w:color w:val="auto"/>
          <w:sz w:val="21"/>
          <w:szCs w:val="21"/>
          <w:u w:val="single"/>
        </w:rPr>
        <w:t xml:space="preserve"> 核心业务系统运维服务项目</w:t>
      </w:r>
      <w:r>
        <w:rPr>
          <w:rFonts w:hint="eastAsia" w:ascii="宋体" w:hAnsi="宋体" w:eastAsia="宋体" w:cs="宋体"/>
          <w:color w:val="auto"/>
          <w:sz w:val="21"/>
          <w:szCs w:val="21"/>
        </w:rPr>
        <w:t>（采购项目名称）的成交供应商，本着平等互利、协商一致的原则，经甲乙双方友好协商同意签署本合同。</w:t>
      </w:r>
    </w:p>
    <w:p w14:paraId="446ABD80">
      <w:pPr>
        <w:rPr>
          <w:rFonts w:ascii="宋体" w:hAnsi="宋体" w:eastAsia="宋体" w:cs="宋体"/>
          <w:b/>
          <w:bCs/>
          <w:color w:val="auto"/>
          <w:sz w:val="21"/>
          <w:szCs w:val="21"/>
        </w:rPr>
      </w:pPr>
      <w:r>
        <w:rPr>
          <w:rFonts w:hint="eastAsia" w:ascii="宋体" w:hAnsi="宋体" w:eastAsia="宋体" w:cs="宋体"/>
          <w:b/>
          <w:bCs/>
          <w:color w:val="auto"/>
          <w:sz w:val="21"/>
          <w:szCs w:val="21"/>
        </w:rPr>
        <w:t>一、服务内容</w:t>
      </w:r>
    </w:p>
    <w:p w14:paraId="2CBB434C">
      <w:pPr>
        <w:ind w:firstLine="420" w:firstLineChars="200"/>
        <w:rPr>
          <w:rFonts w:ascii="宋体" w:hAnsi="宋体" w:eastAsia="宋体" w:cs="宋体"/>
          <w:color w:val="auto"/>
          <w:sz w:val="21"/>
          <w:szCs w:val="21"/>
        </w:rPr>
      </w:pPr>
      <w:r>
        <w:rPr>
          <w:rFonts w:hint="eastAsia" w:ascii="宋体" w:hAnsi="宋体" w:eastAsia="宋体" w:cs="宋体"/>
          <w:color w:val="auto"/>
          <w:sz w:val="21"/>
          <w:szCs w:val="21"/>
        </w:rPr>
        <w:t>1.乙方根据甲方的需求，对</w:t>
      </w:r>
      <w:r>
        <w:rPr>
          <w:rFonts w:hint="eastAsia" w:ascii="宋体" w:hAnsi="宋体" w:eastAsia="宋体" w:cs="宋体"/>
          <w:color w:val="auto"/>
          <w:sz w:val="21"/>
          <w:szCs w:val="21"/>
          <w:u w:val="single"/>
          <w:lang w:val="en-US" w:eastAsia="zh-CN"/>
        </w:rPr>
        <w:t xml:space="preserve"> 铜川市住房公积金管理中心 </w:t>
      </w:r>
      <w:r>
        <w:rPr>
          <w:rFonts w:hint="eastAsia" w:ascii="宋体" w:hAnsi="宋体" w:eastAsia="宋体" w:cs="宋体"/>
          <w:color w:val="auto"/>
          <w:sz w:val="21"/>
          <w:szCs w:val="21"/>
        </w:rPr>
        <w:t>的铜川公积金采购核心业务系统运维</w:t>
      </w:r>
      <w:r>
        <w:rPr>
          <w:rFonts w:hint="eastAsia" w:ascii="宋体" w:hAnsi="宋体" w:eastAsia="宋体" w:cs="宋体"/>
          <w:color w:val="auto"/>
          <w:sz w:val="21"/>
          <w:szCs w:val="21"/>
          <w:lang w:val="en-US" w:eastAsia="zh-CN"/>
        </w:rPr>
        <w:t>服务</w:t>
      </w:r>
      <w:r>
        <w:rPr>
          <w:rFonts w:hint="eastAsia" w:ascii="宋体" w:hAnsi="宋体" w:eastAsia="宋体" w:cs="宋体"/>
          <w:color w:val="auto"/>
          <w:sz w:val="21"/>
          <w:szCs w:val="21"/>
        </w:rPr>
        <w:t>，并提交项目所需的文件资料。</w:t>
      </w:r>
    </w:p>
    <w:p w14:paraId="4408B703">
      <w:pPr>
        <w:ind w:firstLine="422" w:firstLineChars="200"/>
        <w:rPr>
          <w:rFonts w:ascii="宋体" w:hAnsi="宋体" w:eastAsia="宋体" w:cs="宋体"/>
          <w:b/>
          <w:bCs/>
          <w:color w:val="auto"/>
          <w:sz w:val="21"/>
          <w:szCs w:val="21"/>
        </w:rPr>
      </w:pPr>
      <w:r>
        <w:rPr>
          <w:rFonts w:hint="eastAsia" w:ascii="宋体" w:hAnsi="宋体" w:eastAsia="宋体" w:cs="宋体"/>
          <w:b/>
          <w:bCs/>
          <w:color w:val="auto"/>
          <w:sz w:val="21"/>
          <w:szCs w:val="21"/>
          <w:lang w:val="en-US" w:eastAsia="zh-CN"/>
        </w:rPr>
        <w:t>2</w:t>
      </w:r>
      <w:r>
        <w:rPr>
          <w:rFonts w:hint="eastAsia" w:ascii="宋体" w:hAnsi="宋体" w:eastAsia="宋体" w:cs="宋体"/>
          <w:b/>
          <w:bCs/>
          <w:color w:val="auto"/>
          <w:sz w:val="21"/>
          <w:szCs w:val="21"/>
        </w:rPr>
        <w:t>、项目金额及账号信息</w:t>
      </w:r>
    </w:p>
    <w:p w14:paraId="117B6C83">
      <w:pPr>
        <w:ind w:firstLine="420" w:firstLineChars="200"/>
        <w:rPr>
          <w:rFonts w:ascii="宋体" w:hAnsi="宋体" w:eastAsia="宋体" w:cs="宋体"/>
          <w:color w:val="auto"/>
          <w:sz w:val="21"/>
          <w:szCs w:val="21"/>
        </w:rPr>
      </w:pPr>
      <w:r>
        <w:rPr>
          <w:rFonts w:hint="eastAsia" w:ascii="宋体" w:hAnsi="宋体" w:eastAsia="宋体" w:cs="宋体"/>
          <w:color w:val="auto"/>
          <w:sz w:val="21"/>
          <w:szCs w:val="21"/>
          <w:lang w:val="en-US" w:eastAsia="zh-CN"/>
        </w:rPr>
        <w:t>2.1</w:t>
      </w:r>
      <w:r>
        <w:rPr>
          <w:rFonts w:hint="eastAsia" w:ascii="宋体" w:hAnsi="宋体" w:eastAsia="宋体" w:cs="宋体"/>
          <w:color w:val="auto"/>
          <w:sz w:val="21"/>
          <w:szCs w:val="21"/>
        </w:rPr>
        <w:t>本项目金额为人民币（大写）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元），本费用包含提供本项目运维服务相关的一切费用。</w:t>
      </w:r>
    </w:p>
    <w:p w14:paraId="1EFFB36A">
      <w:pPr>
        <w:ind w:firstLine="420" w:firstLineChars="200"/>
        <w:rPr>
          <w:rFonts w:hint="eastAsia"/>
          <w:color w:val="auto"/>
          <w:sz w:val="21"/>
          <w:szCs w:val="21"/>
        </w:rPr>
      </w:pPr>
      <w:bookmarkStart w:id="3" w:name="_Toc7516"/>
      <w:r>
        <w:rPr>
          <w:rFonts w:hint="eastAsia"/>
          <w:color w:val="auto"/>
          <w:sz w:val="21"/>
          <w:szCs w:val="21"/>
        </w:rPr>
        <w:t>2.</w:t>
      </w:r>
      <w:r>
        <w:rPr>
          <w:rFonts w:hint="eastAsia"/>
          <w:color w:val="auto"/>
          <w:sz w:val="21"/>
          <w:szCs w:val="21"/>
          <w:lang w:val="en-US" w:eastAsia="zh-CN"/>
        </w:rPr>
        <w:t>2</w:t>
      </w:r>
      <w:r>
        <w:rPr>
          <w:rFonts w:hint="eastAsia"/>
          <w:color w:val="auto"/>
          <w:sz w:val="21"/>
          <w:szCs w:val="21"/>
        </w:rPr>
        <w:t>项目主要内容及分项报价</w:t>
      </w:r>
      <w:bookmarkEnd w:id="3"/>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6109"/>
        <w:gridCol w:w="1222"/>
        <w:gridCol w:w="1212"/>
      </w:tblGrid>
      <w:tr w14:paraId="35732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507FED06">
            <w:pPr>
              <w:spacing w:line="240" w:lineRule="auto"/>
              <w:jc w:val="center"/>
              <w:rPr>
                <w:rFonts w:hint="default"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运维名称</w:t>
            </w:r>
          </w:p>
        </w:tc>
        <w:tc>
          <w:tcPr>
            <w:tcW w:w="6109" w:type="dxa"/>
            <w:vAlign w:val="center"/>
          </w:tcPr>
          <w:p w14:paraId="7DE19C98">
            <w:pPr>
              <w:spacing w:line="240" w:lineRule="auto"/>
              <w:jc w:val="center"/>
              <w:rPr>
                <w:rFonts w:hint="default"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功能描述</w:t>
            </w:r>
          </w:p>
        </w:tc>
        <w:tc>
          <w:tcPr>
            <w:tcW w:w="1222" w:type="dxa"/>
            <w:vAlign w:val="center"/>
          </w:tcPr>
          <w:p w14:paraId="79F708FE">
            <w:pPr>
              <w:spacing w:line="240" w:lineRule="auto"/>
              <w:jc w:val="center"/>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数量</w:t>
            </w:r>
          </w:p>
          <w:p w14:paraId="43FE88E8">
            <w:pPr>
              <w:spacing w:line="240" w:lineRule="auto"/>
              <w:jc w:val="center"/>
              <w:rPr>
                <w:rFonts w:hint="default"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（单位）</w:t>
            </w:r>
          </w:p>
        </w:tc>
        <w:tc>
          <w:tcPr>
            <w:tcW w:w="1212" w:type="dxa"/>
            <w:vAlign w:val="center"/>
          </w:tcPr>
          <w:p w14:paraId="04E42288">
            <w:pPr>
              <w:spacing w:line="240" w:lineRule="auto"/>
              <w:jc w:val="center"/>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成交价格</w:t>
            </w:r>
          </w:p>
          <w:p w14:paraId="262FD46D">
            <w:pPr>
              <w:spacing w:line="240" w:lineRule="auto"/>
              <w:jc w:val="center"/>
              <w:rPr>
                <w:rFonts w:hint="default"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（元）</w:t>
            </w:r>
          </w:p>
        </w:tc>
      </w:tr>
      <w:tr w14:paraId="52F39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6E61E865">
            <w:pPr>
              <w:spacing w:line="240" w:lineRule="auto"/>
              <w:jc w:val="center"/>
              <w:rPr>
                <w:rFonts w:hint="eastAsia" w:ascii="宋体" w:hAnsi="宋体" w:eastAsia="宋体" w:cs="宋体"/>
                <w:b w:val="0"/>
                <w:bCs w:val="0"/>
                <w:color w:val="auto"/>
                <w:sz w:val="21"/>
                <w:szCs w:val="21"/>
                <w:vertAlign w:val="baseline"/>
              </w:rPr>
            </w:pPr>
            <w:r>
              <w:rPr>
                <w:rFonts w:hint="eastAsia" w:ascii="宋体" w:hAnsi="宋体" w:eastAsia="宋体" w:cs="宋体"/>
                <w:b w:val="0"/>
                <w:bCs w:val="0"/>
                <w:color w:val="auto"/>
                <w:sz w:val="21"/>
                <w:szCs w:val="21"/>
                <w:vertAlign w:val="baseline"/>
              </w:rPr>
              <w:t>核心业务系统运维服务</w:t>
            </w:r>
          </w:p>
        </w:tc>
        <w:tc>
          <w:tcPr>
            <w:tcW w:w="6109" w:type="dxa"/>
          </w:tcPr>
          <w:p w14:paraId="333F8211">
            <w:pPr>
              <w:spacing w:line="240" w:lineRule="auto"/>
              <w:rPr>
                <w:rFonts w:hint="eastAsia" w:ascii="宋体" w:hAnsi="宋体" w:eastAsia="宋体" w:cs="宋体"/>
                <w:b w:val="0"/>
                <w:bCs w:val="0"/>
                <w:color w:val="auto"/>
                <w:sz w:val="21"/>
                <w:szCs w:val="21"/>
                <w:vertAlign w:val="baseline"/>
              </w:rPr>
            </w:pPr>
            <w:r>
              <w:rPr>
                <w:rFonts w:hint="eastAsia" w:ascii="宋体" w:hAnsi="宋体" w:eastAsia="宋体" w:cs="宋体"/>
                <w:b w:val="0"/>
                <w:bCs w:val="0"/>
                <w:color w:val="auto"/>
                <w:sz w:val="21"/>
                <w:szCs w:val="21"/>
                <w:vertAlign w:val="baseline"/>
              </w:rPr>
              <w:t>运维服务对象：中心核心业务系统</w:t>
            </w:r>
          </w:p>
          <w:p w14:paraId="736AD486">
            <w:pPr>
              <w:spacing w:line="240" w:lineRule="auto"/>
              <w:rPr>
                <w:rFonts w:hint="eastAsia" w:ascii="宋体" w:hAnsi="宋体" w:eastAsia="宋体" w:cs="宋体"/>
                <w:b w:val="0"/>
                <w:bCs w:val="0"/>
                <w:color w:val="auto"/>
                <w:sz w:val="21"/>
                <w:szCs w:val="21"/>
                <w:vertAlign w:val="baseline"/>
              </w:rPr>
            </w:pPr>
            <w:r>
              <w:rPr>
                <w:rFonts w:hint="eastAsia" w:ascii="宋体" w:hAnsi="宋体" w:eastAsia="宋体" w:cs="宋体"/>
                <w:b w:val="0"/>
                <w:bCs w:val="0"/>
                <w:color w:val="auto"/>
                <w:sz w:val="21"/>
                <w:szCs w:val="21"/>
                <w:vertAlign w:val="baseline"/>
              </w:rPr>
              <w:t>服务内容：保障住房公积金信息系统平稳运行，保障住房公积金业务正常办理，使系统功能与住房公积金政策及国家要求保持一致。运维服务内容包括但不限于硬件系统支撑运维，操作系统及软件应用运维，功能需求优化升级服务、数据库运维、政策性优化应用系统服务、系统安全管理和安全巡检服务、数据管理和备份恢复服务、人员培训等。</w:t>
            </w:r>
          </w:p>
          <w:p w14:paraId="04772DDF">
            <w:pPr>
              <w:spacing w:line="240" w:lineRule="auto"/>
              <w:rPr>
                <w:rFonts w:hint="eastAsia" w:ascii="宋体" w:hAnsi="宋体" w:eastAsia="宋体" w:cs="宋体"/>
                <w:b w:val="0"/>
                <w:bCs w:val="0"/>
                <w:color w:val="auto"/>
                <w:sz w:val="21"/>
                <w:szCs w:val="21"/>
                <w:vertAlign w:val="baseline"/>
              </w:rPr>
            </w:pPr>
            <w:r>
              <w:rPr>
                <w:rFonts w:hint="eastAsia" w:ascii="宋体" w:hAnsi="宋体" w:eastAsia="宋体" w:cs="宋体"/>
                <w:b w:val="0"/>
                <w:bCs w:val="0"/>
                <w:color w:val="auto"/>
                <w:sz w:val="21"/>
                <w:szCs w:val="21"/>
                <w:vertAlign w:val="baseline"/>
              </w:rPr>
              <w:t>运维方式：运维采取人员驻场维护及远程技术维护的方式，每季度提供1次巡检服务，驻场人员提供5×8小时现场运维服务，客户服务热线提供7*24小时服务，如遇突发事件，远程技术维护服务响应时间不超过3个小时，技术工程师在接到服务单后到场响应不超过4小时。</w:t>
            </w:r>
          </w:p>
        </w:tc>
        <w:tc>
          <w:tcPr>
            <w:tcW w:w="1222" w:type="dxa"/>
            <w:vAlign w:val="center"/>
          </w:tcPr>
          <w:p w14:paraId="102C3F3B">
            <w:pPr>
              <w:spacing w:line="240" w:lineRule="auto"/>
              <w:jc w:val="center"/>
              <w:rPr>
                <w:rFonts w:hint="eastAsia" w:ascii="宋体" w:hAnsi="宋体" w:eastAsia="宋体" w:cs="宋体"/>
                <w:b w:val="0"/>
                <w:bCs w:val="0"/>
                <w:color w:val="auto"/>
                <w:sz w:val="21"/>
                <w:szCs w:val="21"/>
                <w:vertAlign w:val="baseline"/>
                <w:lang w:val="en-US" w:eastAsia="zh-CN"/>
              </w:rPr>
            </w:pPr>
            <w:r>
              <w:rPr>
                <w:rFonts w:hint="eastAsia" w:ascii="宋体" w:hAnsi="宋体" w:eastAsia="宋体" w:cs="宋体"/>
                <w:b w:val="0"/>
                <w:bCs w:val="0"/>
                <w:color w:val="auto"/>
                <w:sz w:val="21"/>
                <w:szCs w:val="21"/>
                <w:vertAlign w:val="baseline"/>
                <w:lang w:val="en-US" w:eastAsia="zh-CN"/>
              </w:rPr>
              <w:t>1（项）</w:t>
            </w:r>
          </w:p>
        </w:tc>
        <w:tc>
          <w:tcPr>
            <w:tcW w:w="1212" w:type="dxa"/>
            <w:vAlign w:val="center"/>
          </w:tcPr>
          <w:p w14:paraId="137148F9">
            <w:pPr>
              <w:spacing w:line="240" w:lineRule="auto"/>
              <w:jc w:val="center"/>
              <w:rPr>
                <w:rFonts w:hint="eastAsia" w:ascii="宋体" w:hAnsi="宋体" w:eastAsia="宋体" w:cs="宋体"/>
                <w:b w:val="0"/>
                <w:bCs w:val="0"/>
                <w:color w:val="auto"/>
                <w:sz w:val="21"/>
                <w:szCs w:val="21"/>
                <w:vertAlign w:val="baseline"/>
                <w:lang w:val="en-US" w:eastAsia="zh-CN"/>
              </w:rPr>
            </w:pPr>
          </w:p>
        </w:tc>
      </w:tr>
    </w:tbl>
    <w:p w14:paraId="26393994">
      <w:pPr>
        <w:ind w:firstLine="422" w:firstLineChars="200"/>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2.3付款时间及方式</w:t>
      </w:r>
    </w:p>
    <w:p w14:paraId="5B6A5E76">
      <w:pPr>
        <w:ind w:firstLine="420" w:firstLineChars="200"/>
        <w:rPr>
          <w:rFonts w:hint="eastAsia"/>
          <w:color w:val="auto"/>
          <w:sz w:val="21"/>
          <w:szCs w:val="21"/>
          <w:lang w:val="en-US" w:eastAsia="zh-CN"/>
        </w:rPr>
      </w:pPr>
      <w:r>
        <w:rPr>
          <w:rFonts w:hint="eastAsia"/>
          <w:color w:val="auto"/>
          <w:sz w:val="21"/>
          <w:szCs w:val="21"/>
          <w:lang w:val="en-US" w:eastAsia="zh-CN"/>
        </w:rPr>
        <w:t>2.</w:t>
      </w:r>
      <w:r>
        <w:rPr>
          <w:rFonts w:hint="eastAsia"/>
          <w:color w:val="auto"/>
          <w:sz w:val="21"/>
          <w:szCs w:val="21"/>
        </w:rPr>
        <w:t>3.1</w:t>
      </w:r>
      <w:r>
        <w:rPr>
          <w:rFonts w:hint="eastAsia"/>
          <w:color w:val="auto"/>
          <w:sz w:val="21"/>
          <w:szCs w:val="21"/>
          <w:lang w:val="en-US" w:eastAsia="zh-CN"/>
        </w:rPr>
        <w:t>合同支付约定</w:t>
      </w:r>
    </w:p>
    <w:p w14:paraId="3CBE505F">
      <w:pPr>
        <w:ind w:firstLine="420" w:firstLineChars="200"/>
        <w:rPr>
          <w:rFonts w:hint="eastAsia"/>
          <w:color w:val="auto"/>
          <w:sz w:val="21"/>
          <w:szCs w:val="21"/>
          <w:lang w:val="en-US" w:eastAsia="zh-CN"/>
        </w:rPr>
      </w:pPr>
      <w:r>
        <w:rPr>
          <w:rFonts w:hint="eastAsia"/>
          <w:color w:val="auto"/>
          <w:sz w:val="21"/>
          <w:szCs w:val="21"/>
          <w:lang w:val="en-US" w:eastAsia="zh-CN"/>
        </w:rPr>
        <w:t>合同签订后，达到付款条件起7日内，支付合同总金额的 60.00%。</w:t>
      </w:r>
    </w:p>
    <w:p w14:paraId="5F2FD1EF">
      <w:pPr>
        <w:ind w:firstLine="420" w:firstLineChars="200"/>
        <w:rPr>
          <w:rFonts w:hint="eastAsia"/>
          <w:color w:val="auto"/>
          <w:sz w:val="21"/>
          <w:szCs w:val="21"/>
          <w:lang w:val="en-US" w:eastAsia="zh-CN"/>
        </w:rPr>
      </w:pPr>
      <w:r>
        <w:rPr>
          <w:rFonts w:hint="eastAsia"/>
          <w:color w:val="auto"/>
          <w:sz w:val="21"/>
          <w:szCs w:val="21"/>
          <w:lang w:val="en-US" w:eastAsia="zh-CN"/>
        </w:rPr>
        <w:t>服务期满前一个月，达到付款条件起7日内，支付合同总金额的 40.00%。</w:t>
      </w:r>
    </w:p>
    <w:p w14:paraId="790DBDD7">
      <w:pPr>
        <w:ind w:firstLine="420" w:firstLineChars="200"/>
        <w:rPr>
          <w:color w:val="auto"/>
          <w:sz w:val="21"/>
          <w:szCs w:val="21"/>
        </w:rPr>
      </w:pPr>
      <w:r>
        <w:rPr>
          <w:rFonts w:hint="eastAsia"/>
          <w:color w:val="auto"/>
          <w:sz w:val="21"/>
          <w:szCs w:val="21"/>
          <w:lang w:val="en-US" w:eastAsia="zh-CN"/>
        </w:rPr>
        <w:t>2.</w:t>
      </w:r>
      <w:r>
        <w:rPr>
          <w:color w:val="auto"/>
          <w:sz w:val="21"/>
          <w:szCs w:val="21"/>
        </w:rPr>
        <w:t>3.2支付</w:t>
      </w:r>
      <w:r>
        <w:rPr>
          <w:rFonts w:hint="eastAsia"/>
          <w:color w:val="auto"/>
          <w:sz w:val="21"/>
          <w:szCs w:val="21"/>
        </w:rPr>
        <w:t>账户</w:t>
      </w:r>
    </w:p>
    <w:p w14:paraId="67457A86">
      <w:pPr>
        <w:ind w:firstLine="420" w:firstLineChars="200"/>
        <w:rPr>
          <w:color w:val="auto"/>
          <w:sz w:val="21"/>
          <w:szCs w:val="21"/>
        </w:rPr>
      </w:pPr>
      <w:r>
        <w:rPr>
          <w:rFonts w:hint="eastAsia"/>
          <w:color w:val="auto"/>
          <w:sz w:val="21"/>
          <w:szCs w:val="21"/>
        </w:rPr>
        <w:t>支付时，甲方应按照本合同约定将款项划转入如下账户：</w:t>
      </w:r>
    </w:p>
    <w:p w14:paraId="6ADAA6A7">
      <w:pPr>
        <w:ind w:firstLine="420" w:firstLineChars="200"/>
        <w:rPr>
          <w:rFonts w:hint="default" w:eastAsiaTheme="minorEastAsia"/>
          <w:color w:val="auto"/>
          <w:sz w:val="21"/>
          <w:szCs w:val="21"/>
          <w:u w:val="single"/>
          <w:lang w:val="en-US" w:eastAsia="zh-CN"/>
        </w:rPr>
      </w:pPr>
      <w:r>
        <w:rPr>
          <w:rFonts w:hint="eastAsia"/>
          <w:color w:val="auto"/>
          <w:sz w:val="21"/>
          <w:szCs w:val="21"/>
        </w:rPr>
        <w:t>开户名：</w:t>
      </w:r>
      <w:r>
        <w:rPr>
          <w:rFonts w:hint="eastAsia"/>
          <w:color w:val="auto"/>
          <w:sz w:val="21"/>
          <w:szCs w:val="21"/>
          <w:u w:val="single"/>
        </w:rPr>
        <w:t xml:space="preserve"> </w:t>
      </w:r>
      <w:r>
        <w:rPr>
          <w:rFonts w:hint="eastAsia"/>
          <w:color w:val="auto"/>
          <w:sz w:val="21"/>
          <w:szCs w:val="21"/>
          <w:u w:val="single"/>
          <w:lang w:val="en-US" w:eastAsia="zh-CN"/>
        </w:rPr>
        <w:t xml:space="preserve">                                        </w:t>
      </w:r>
    </w:p>
    <w:p w14:paraId="7DFBAF91">
      <w:pPr>
        <w:ind w:firstLine="420" w:firstLineChars="200"/>
        <w:rPr>
          <w:color w:val="auto"/>
          <w:sz w:val="21"/>
          <w:szCs w:val="21"/>
        </w:rPr>
      </w:pPr>
      <w:r>
        <w:rPr>
          <w:rFonts w:hint="eastAsia"/>
          <w:color w:val="auto"/>
          <w:sz w:val="21"/>
          <w:szCs w:val="21"/>
        </w:rPr>
        <w:t>开户行：</w:t>
      </w:r>
      <w:r>
        <w:rPr>
          <w:rFonts w:hint="eastAsia"/>
          <w:color w:val="auto"/>
          <w:sz w:val="21"/>
          <w:szCs w:val="21"/>
          <w:u w:val="single"/>
        </w:rPr>
        <w:t xml:space="preserve"> </w:t>
      </w:r>
      <w:r>
        <w:rPr>
          <w:rFonts w:hint="eastAsia"/>
          <w:color w:val="auto"/>
          <w:sz w:val="21"/>
          <w:szCs w:val="21"/>
          <w:u w:val="single"/>
          <w:lang w:val="en-US" w:eastAsia="zh-CN"/>
        </w:rPr>
        <w:t xml:space="preserve">                                        </w:t>
      </w:r>
    </w:p>
    <w:p w14:paraId="73447242">
      <w:pPr>
        <w:ind w:firstLine="420" w:firstLineChars="200"/>
        <w:rPr>
          <w:color w:val="auto"/>
          <w:sz w:val="21"/>
          <w:szCs w:val="21"/>
        </w:rPr>
      </w:pPr>
      <w:r>
        <w:rPr>
          <w:rFonts w:hint="eastAsia"/>
          <w:color w:val="auto"/>
          <w:sz w:val="21"/>
          <w:szCs w:val="21"/>
        </w:rPr>
        <w:t>账  号：</w:t>
      </w:r>
      <w:r>
        <w:rPr>
          <w:rFonts w:hint="eastAsia"/>
          <w:color w:val="auto"/>
          <w:sz w:val="21"/>
          <w:szCs w:val="21"/>
          <w:u w:val="single"/>
        </w:rPr>
        <w:t xml:space="preserve"> </w:t>
      </w:r>
      <w:r>
        <w:rPr>
          <w:rFonts w:hint="eastAsia"/>
          <w:color w:val="auto"/>
          <w:sz w:val="21"/>
          <w:szCs w:val="21"/>
          <w:u w:val="single"/>
          <w:lang w:val="en-US" w:eastAsia="zh-CN"/>
        </w:rPr>
        <w:t xml:space="preserve">                                        </w:t>
      </w:r>
      <w:r>
        <w:rPr>
          <w:rFonts w:hint="eastAsia"/>
          <w:color w:val="auto"/>
          <w:sz w:val="21"/>
          <w:szCs w:val="21"/>
        </w:rPr>
        <w:t xml:space="preserve"> </w:t>
      </w:r>
    </w:p>
    <w:p w14:paraId="7C4CC8B1">
      <w:pPr>
        <w:ind w:firstLine="420" w:firstLineChars="200"/>
        <w:rPr>
          <w:color w:val="auto"/>
          <w:sz w:val="21"/>
          <w:szCs w:val="21"/>
        </w:rPr>
      </w:pPr>
      <w:r>
        <w:rPr>
          <w:rFonts w:hint="eastAsia"/>
          <w:color w:val="auto"/>
          <w:sz w:val="21"/>
          <w:szCs w:val="21"/>
        </w:rPr>
        <w:t>上述账户信息如有变更，乙方应在合同约定的相关付款期限前至少提前十个工作日以书面方式通知甲方，通知应加盖乙方公章。</w:t>
      </w:r>
    </w:p>
    <w:p w14:paraId="47FDB3CC">
      <w:pPr>
        <w:ind w:firstLine="420" w:firstLineChars="200"/>
        <w:rPr>
          <w:color w:val="auto"/>
          <w:sz w:val="21"/>
          <w:szCs w:val="21"/>
        </w:rPr>
      </w:pPr>
      <w:r>
        <w:rPr>
          <w:rFonts w:hint="eastAsia"/>
          <w:color w:val="auto"/>
          <w:sz w:val="21"/>
          <w:szCs w:val="21"/>
          <w:lang w:val="en-US" w:eastAsia="zh-CN"/>
        </w:rPr>
        <w:t>2.</w:t>
      </w:r>
      <w:r>
        <w:rPr>
          <w:rFonts w:hint="eastAsia"/>
          <w:color w:val="auto"/>
          <w:sz w:val="21"/>
          <w:szCs w:val="21"/>
        </w:rPr>
        <w:t>3.3结算要求：每次付</w:t>
      </w:r>
      <w:bookmarkStart w:id="15" w:name="_GoBack"/>
      <w:bookmarkEnd w:id="15"/>
      <w:r>
        <w:rPr>
          <w:rFonts w:hint="eastAsia"/>
          <w:color w:val="auto"/>
          <w:sz w:val="21"/>
          <w:szCs w:val="21"/>
        </w:rPr>
        <w:t>款前，</w:t>
      </w:r>
      <w:r>
        <w:rPr>
          <w:rFonts w:hint="eastAsia"/>
          <w:color w:val="auto"/>
          <w:sz w:val="21"/>
          <w:szCs w:val="21"/>
          <w:lang w:val="en-US" w:eastAsia="zh-CN"/>
        </w:rPr>
        <w:t>乙方</w:t>
      </w:r>
      <w:r>
        <w:rPr>
          <w:rFonts w:hint="eastAsia"/>
          <w:color w:val="auto"/>
          <w:sz w:val="21"/>
          <w:szCs w:val="21"/>
        </w:rPr>
        <w:t>均应</w:t>
      </w:r>
      <w:r>
        <w:rPr>
          <w:rFonts w:hint="eastAsia"/>
          <w:color w:val="auto"/>
          <w:sz w:val="21"/>
          <w:szCs w:val="21"/>
          <w:lang w:val="en-US" w:eastAsia="zh-CN"/>
        </w:rPr>
        <w:t>向甲方</w:t>
      </w:r>
      <w:r>
        <w:rPr>
          <w:rFonts w:hint="eastAsia"/>
          <w:color w:val="auto"/>
          <w:sz w:val="21"/>
          <w:szCs w:val="21"/>
        </w:rPr>
        <w:t>开具付款费用等额的发票。</w:t>
      </w:r>
    </w:p>
    <w:p w14:paraId="7DFCF6D6">
      <w:pPr>
        <w:rPr>
          <w:b/>
          <w:bCs/>
          <w:color w:val="auto"/>
          <w:sz w:val="21"/>
          <w:szCs w:val="21"/>
        </w:rPr>
      </w:pPr>
      <w:r>
        <w:rPr>
          <w:rFonts w:hint="eastAsia"/>
          <w:b/>
          <w:bCs/>
          <w:color w:val="auto"/>
          <w:sz w:val="21"/>
          <w:szCs w:val="21"/>
          <w:lang w:val="en-US" w:eastAsia="zh-CN"/>
        </w:rPr>
        <w:t>二</w:t>
      </w:r>
      <w:r>
        <w:rPr>
          <w:rFonts w:hint="eastAsia"/>
          <w:b/>
          <w:bCs/>
          <w:color w:val="auto"/>
          <w:sz w:val="21"/>
          <w:szCs w:val="21"/>
        </w:rPr>
        <w:t>、服务地点</w:t>
      </w:r>
      <w:r>
        <w:rPr>
          <w:b/>
          <w:bCs/>
          <w:color w:val="auto"/>
          <w:sz w:val="21"/>
          <w:szCs w:val="21"/>
        </w:rPr>
        <w:t>、</w:t>
      </w:r>
      <w:r>
        <w:rPr>
          <w:rFonts w:hint="eastAsia"/>
          <w:b/>
          <w:bCs/>
          <w:color w:val="auto"/>
          <w:sz w:val="21"/>
          <w:szCs w:val="21"/>
        </w:rPr>
        <w:t>质量及</w:t>
      </w:r>
      <w:r>
        <w:rPr>
          <w:b/>
          <w:bCs/>
          <w:color w:val="auto"/>
          <w:sz w:val="21"/>
          <w:szCs w:val="21"/>
        </w:rPr>
        <w:t>时间</w:t>
      </w:r>
    </w:p>
    <w:p w14:paraId="7BFEFD6C">
      <w:pPr>
        <w:ind w:firstLine="420" w:firstLineChars="200"/>
        <w:rPr>
          <w:color w:val="auto"/>
          <w:sz w:val="21"/>
          <w:szCs w:val="21"/>
        </w:rPr>
      </w:pPr>
      <w:r>
        <w:rPr>
          <w:rFonts w:hint="eastAsia"/>
          <w:color w:val="auto"/>
          <w:sz w:val="21"/>
          <w:szCs w:val="21"/>
        </w:rPr>
        <w:t>1.服务地点</w:t>
      </w:r>
      <w:r>
        <w:rPr>
          <w:color w:val="auto"/>
          <w:sz w:val="21"/>
          <w:szCs w:val="21"/>
        </w:rPr>
        <w:t>：</w:t>
      </w:r>
      <w:r>
        <w:rPr>
          <w:rFonts w:hint="eastAsia"/>
          <w:color w:val="auto"/>
          <w:sz w:val="21"/>
          <w:szCs w:val="21"/>
        </w:rPr>
        <w:t>甲方指定地点。</w:t>
      </w:r>
    </w:p>
    <w:p w14:paraId="6D816F08">
      <w:pPr>
        <w:ind w:firstLine="420" w:firstLineChars="200"/>
        <w:rPr>
          <w:color w:val="auto"/>
          <w:sz w:val="21"/>
          <w:szCs w:val="21"/>
        </w:rPr>
      </w:pPr>
      <w:r>
        <w:rPr>
          <w:rFonts w:hint="eastAsia"/>
          <w:color w:val="auto"/>
          <w:sz w:val="21"/>
          <w:szCs w:val="21"/>
        </w:rPr>
        <w:t>2.服务</w:t>
      </w:r>
      <w:r>
        <w:rPr>
          <w:rFonts w:hint="eastAsia" w:ascii="宋体" w:hAnsi="宋体" w:eastAsia="宋体" w:cs="宋体"/>
          <w:color w:val="auto"/>
          <w:sz w:val="21"/>
          <w:szCs w:val="21"/>
        </w:rPr>
        <w:t>质量：符合行业标准及采购人要求。</w:t>
      </w:r>
    </w:p>
    <w:p w14:paraId="6564773F">
      <w:pPr>
        <w:ind w:firstLine="420" w:firstLineChars="200"/>
        <w:rPr>
          <w:color w:val="auto"/>
          <w:sz w:val="21"/>
          <w:szCs w:val="21"/>
        </w:rPr>
      </w:pPr>
      <w:r>
        <w:rPr>
          <w:rFonts w:hint="eastAsia"/>
          <w:color w:val="auto"/>
          <w:sz w:val="21"/>
          <w:szCs w:val="21"/>
        </w:rPr>
        <w:t>3.服务期限：自合同签订之日起至202</w:t>
      </w:r>
      <w:r>
        <w:rPr>
          <w:rFonts w:hint="eastAsia"/>
          <w:color w:val="auto"/>
          <w:sz w:val="21"/>
          <w:szCs w:val="21"/>
          <w:lang w:val="en-US" w:eastAsia="zh-CN"/>
        </w:rPr>
        <w:t>5</w:t>
      </w:r>
      <w:r>
        <w:rPr>
          <w:rFonts w:hint="eastAsia"/>
          <w:color w:val="auto"/>
          <w:sz w:val="21"/>
          <w:szCs w:val="21"/>
        </w:rPr>
        <w:t>年</w:t>
      </w:r>
      <w:r>
        <w:rPr>
          <w:rFonts w:hint="eastAsia"/>
          <w:color w:val="auto"/>
          <w:sz w:val="21"/>
          <w:szCs w:val="21"/>
          <w:lang w:val="en-US" w:eastAsia="zh-CN"/>
        </w:rPr>
        <w:t>12</w:t>
      </w:r>
      <w:r>
        <w:rPr>
          <w:rFonts w:hint="eastAsia"/>
          <w:color w:val="auto"/>
          <w:sz w:val="21"/>
          <w:szCs w:val="21"/>
        </w:rPr>
        <w:t>月</w:t>
      </w:r>
      <w:r>
        <w:rPr>
          <w:rFonts w:hint="eastAsia"/>
          <w:color w:val="auto"/>
          <w:sz w:val="21"/>
          <w:szCs w:val="21"/>
          <w:lang w:val="en-US" w:eastAsia="zh-CN"/>
        </w:rPr>
        <w:t>31</w:t>
      </w:r>
      <w:r>
        <w:rPr>
          <w:rFonts w:hint="eastAsia"/>
          <w:color w:val="auto"/>
          <w:sz w:val="21"/>
          <w:szCs w:val="21"/>
        </w:rPr>
        <w:t>日止。</w:t>
      </w:r>
    </w:p>
    <w:p w14:paraId="635A5D43">
      <w:pPr>
        <w:rPr>
          <w:rFonts w:ascii="Times New Roman" w:hAnsi="Times New Roman" w:eastAsia="宋体" w:cs="Times New Roman"/>
          <w:b/>
          <w:bCs/>
          <w:color w:val="auto"/>
          <w:sz w:val="21"/>
          <w:szCs w:val="21"/>
        </w:rPr>
      </w:pPr>
      <w:r>
        <w:rPr>
          <w:rFonts w:hint="eastAsia"/>
          <w:b/>
          <w:bCs/>
          <w:color w:val="auto"/>
          <w:sz w:val="21"/>
          <w:szCs w:val="21"/>
          <w:lang w:val="en-US" w:eastAsia="zh-CN"/>
        </w:rPr>
        <w:t>三</w:t>
      </w:r>
      <w:r>
        <w:rPr>
          <w:rFonts w:hint="eastAsia"/>
          <w:b/>
          <w:bCs/>
          <w:color w:val="auto"/>
          <w:sz w:val="21"/>
          <w:szCs w:val="21"/>
        </w:rPr>
        <w:t>、</w:t>
      </w:r>
      <w:bookmarkStart w:id="4" w:name="_Toc207506206"/>
      <w:bookmarkStart w:id="5" w:name="_Toc207506331"/>
      <w:bookmarkStart w:id="6" w:name="_Toc207507182"/>
      <w:bookmarkStart w:id="7" w:name="_Toc207507804"/>
      <w:bookmarkStart w:id="8" w:name="_Toc207506008"/>
      <w:r>
        <w:rPr>
          <w:rFonts w:hint="eastAsia" w:ascii="Times New Roman" w:hAnsi="Times New Roman" w:eastAsia="宋体" w:cs="Times New Roman"/>
          <w:b/>
          <w:bCs/>
          <w:color w:val="auto"/>
          <w:sz w:val="21"/>
          <w:szCs w:val="21"/>
        </w:rPr>
        <w:t>验收标准</w:t>
      </w:r>
    </w:p>
    <w:p w14:paraId="2BCCE837">
      <w:pPr>
        <w:ind w:firstLine="420" w:firstLineChars="200"/>
        <w:rPr>
          <w:color w:val="auto"/>
          <w:sz w:val="21"/>
          <w:szCs w:val="21"/>
        </w:rPr>
      </w:pPr>
      <w:r>
        <w:rPr>
          <w:rFonts w:hint="eastAsia"/>
          <w:color w:val="auto"/>
          <w:sz w:val="21"/>
          <w:szCs w:val="21"/>
        </w:rPr>
        <w:t>1.符合采购人与成交供应商签订的服务合同；</w:t>
      </w:r>
    </w:p>
    <w:p w14:paraId="0C61CFAE">
      <w:pPr>
        <w:ind w:firstLine="420" w:firstLineChars="200"/>
        <w:rPr>
          <w:color w:val="auto"/>
          <w:sz w:val="21"/>
          <w:szCs w:val="21"/>
        </w:rPr>
      </w:pPr>
      <w:r>
        <w:rPr>
          <w:rFonts w:hint="eastAsia"/>
          <w:color w:val="auto"/>
          <w:sz w:val="21"/>
          <w:szCs w:val="21"/>
        </w:rPr>
        <w:t>2.符合采购文件、采购需求的技术服务要求、商务要求，以及符合供应商的响应文件及磋商结果；</w:t>
      </w:r>
    </w:p>
    <w:p w14:paraId="0D2555AF">
      <w:pPr>
        <w:ind w:firstLine="420" w:firstLineChars="200"/>
        <w:rPr>
          <w:color w:val="auto"/>
          <w:sz w:val="21"/>
          <w:szCs w:val="21"/>
        </w:rPr>
      </w:pPr>
      <w:r>
        <w:rPr>
          <w:rFonts w:hint="eastAsia"/>
          <w:color w:val="auto"/>
          <w:sz w:val="21"/>
          <w:szCs w:val="21"/>
        </w:rPr>
        <w:t>3.符合产品原样本技术数据；</w:t>
      </w:r>
    </w:p>
    <w:p w14:paraId="13EC39A6">
      <w:pPr>
        <w:ind w:firstLine="420" w:firstLineChars="200"/>
        <w:rPr>
          <w:color w:val="auto"/>
          <w:sz w:val="21"/>
          <w:szCs w:val="21"/>
        </w:rPr>
      </w:pPr>
      <w:r>
        <w:rPr>
          <w:rFonts w:hint="eastAsia"/>
          <w:color w:val="auto"/>
          <w:sz w:val="21"/>
          <w:szCs w:val="21"/>
        </w:rPr>
        <w:t>4.符合国家有关技术规范和标准；</w:t>
      </w:r>
    </w:p>
    <w:p w14:paraId="5C5F9968">
      <w:pPr>
        <w:ind w:firstLine="420" w:firstLineChars="200"/>
        <w:rPr>
          <w:color w:val="auto"/>
          <w:sz w:val="21"/>
          <w:szCs w:val="21"/>
        </w:rPr>
      </w:pPr>
      <w:r>
        <w:rPr>
          <w:rFonts w:hint="eastAsia"/>
          <w:color w:val="auto"/>
          <w:sz w:val="21"/>
          <w:szCs w:val="21"/>
        </w:rPr>
        <w:t>5.验收</w:t>
      </w:r>
      <w:r>
        <w:rPr>
          <w:color w:val="auto"/>
          <w:sz w:val="21"/>
          <w:szCs w:val="21"/>
        </w:rPr>
        <w:t>方式</w:t>
      </w:r>
    </w:p>
    <w:p w14:paraId="201B028A">
      <w:pPr>
        <w:ind w:firstLine="420" w:firstLineChars="200"/>
        <w:rPr>
          <w:color w:val="auto"/>
          <w:sz w:val="21"/>
          <w:szCs w:val="21"/>
        </w:rPr>
      </w:pPr>
      <w:r>
        <w:rPr>
          <w:rFonts w:hint="eastAsia"/>
          <w:color w:val="auto"/>
          <w:sz w:val="21"/>
          <w:szCs w:val="21"/>
        </w:rPr>
        <w:t>甲乙双方共同参照采购文件、响应文件、合同和承诺条款的有关内容、配置要求等，甲方在收到乙方验收通知书及相关验收资料后通知乙方，甲乙双方共同对系统进行验收，并由乙方将验收报告提交甲方。</w:t>
      </w:r>
    </w:p>
    <w:p w14:paraId="6D848DC3">
      <w:pPr>
        <w:ind w:firstLine="420" w:firstLineChars="200"/>
        <w:rPr>
          <w:color w:val="auto"/>
          <w:sz w:val="21"/>
          <w:szCs w:val="21"/>
        </w:rPr>
      </w:pPr>
      <w:r>
        <w:rPr>
          <w:rFonts w:hint="eastAsia"/>
          <w:color w:val="auto"/>
          <w:sz w:val="21"/>
          <w:szCs w:val="21"/>
        </w:rPr>
        <w:t>验收工作由甲方、财政部门及相关专家共同完成，经相关负责人确认验收通过并签字、盖章，则视为甲乙双方确认验收通过。验收过程和步骤应符合财政部门的有关规定，符合使用单位要求。除非甲方以书面方式同意予以免除，否则对于合同中约定的硬件产品，甲方均有权选择单独，或要求乙方协助对产品加电联通进行测试性运行或使用，以确定产品是否符合本合同约定。</w:t>
      </w:r>
    </w:p>
    <w:p w14:paraId="01BAF8DE">
      <w:pPr>
        <w:ind w:firstLine="420" w:firstLineChars="200"/>
        <w:rPr>
          <w:color w:val="auto"/>
          <w:sz w:val="21"/>
          <w:szCs w:val="21"/>
        </w:rPr>
      </w:pPr>
      <w:r>
        <w:rPr>
          <w:rFonts w:hint="eastAsia"/>
          <w:color w:val="auto"/>
          <w:sz w:val="21"/>
          <w:szCs w:val="21"/>
        </w:rPr>
        <w:t>7.甲方对交付成果提出异议的，乙方应在接到异议之日起</w:t>
      </w:r>
      <w:r>
        <w:rPr>
          <w:color w:val="auto"/>
          <w:sz w:val="21"/>
          <w:szCs w:val="21"/>
        </w:rPr>
        <w:t>5个工作日内，选择以下一种或多种方式解决异议，相应的异议处理方式应经甲方认可</w:t>
      </w:r>
      <w:r>
        <w:rPr>
          <w:rFonts w:hint="eastAsia"/>
          <w:color w:val="auto"/>
          <w:sz w:val="21"/>
          <w:szCs w:val="21"/>
        </w:rPr>
        <w:t>：</w:t>
      </w:r>
    </w:p>
    <w:p w14:paraId="58355298">
      <w:pPr>
        <w:ind w:firstLine="420" w:firstLineChars="200"/>
        <w:rPr>
          <w:color w:val="auto"/>
          <w:sz w:val="21"/>
          <w:szCs w:val="21"/>
        </w:rPr>
      </w:pPr>
      <w:r>
        <w:rPr>
          <w:rFonts w:hint="eastAsia"/>
          <w:color w:val="auto"/>
          <w:sz w:val="21"/>
          <w:szCs w:val="21"/>
        </w:rPr>
        <w:t>1）</w:t>
      </w:r>
      <w:r>
        <w:rPr>
          <w:color w:val="auto"/>
          <w:sz w:val="21"/>
          <w:szCs w:val="21"/>
        </w:rPr>
        <w:t>上门修复、调试；</w:t>
      </w:r>
    </w:p>
    <w:p w14:paraId="51034844">
      <w:pPr>
        <w:ind w:firstLine="420" w:firstLineChars="200"/>
        <w:rPr>
          <w:color w:val="auto"/>
          <w:sz w:val="21"/>
          <w:szCs w:val="21"/>
        </w:rPr>
      </w:pPr>
      <w:r>
        <w:rPr>
          <w:color w:val="auto"/>
          <w:sz w:val="21"/>
          <w:szCs w:val="21"/>
        </w:rPr>
        <w:t>2</w:t>
      </w:r>
      <w:r>
        <w:rPr>
          <w:rFonts w:hint="eastAsia"/>
          <w:color w:val="auto"/>
          <w:sz w:val="21"/>
          <w:szCs w:val="21"/>
        </w:rPr>
        <w:t>）</w:t>
      </w:r>
      <w:r>
        <w:rPr>
          <w:color w:val="auto"/>
          <w:sz w:val="21"/>
          <w:szCs w:val="21"/>
        </w:rPr>
        <w:t>指定时间内免费更新到品质、性能更优良的软件系统。</w:t>
      </w:r>
    </w:p>
    <w:p w14:paraId="21BB5FA6">
      <w:pPr>
        <w:rPr>
          <w:rFonts w:ascii="Times New Roman" w:hAnsi="Times New Roman" w:eastAsia="宋体" w:cs="Times New Roman"/>
          <w:b/>
          <w:bCs/>
          <w:color w:val="auto"/>
          <w:sz w:val="21"/>
          <w:szCs w:val="21"/>
        </w:rPr>
      </w:pPr>
      <w:r>
        <w:rPr>
          <w:rFonts w:hint="eastAsia" w:ascii="Times New Roman" w:hAnsi="Times New Roman" w:eastAsia="宋体" w:cs="Times New Roman"/>
          <w:b/>
          <w:bCs/>
          <w:color w:val="auto"/>
          <w:sz w:val="21"/>
          <w:szCs w:val="21"/>
          <w:lang w:val="en-US" w:eastAsia="zh-CN"/>
        </w:rPr>
        <w:t>四</w:t>
      </w:r>
      <w:r>
        <w:rPr>
          <w:rFonts w:hint="eastAsia" w:ascii="Times New Roman" w:hAnsi="Times New Roman" w:eastAsia="宋体" w:cs="Times New Roman"/>
          <w:b/>
          <w:bCs/>
          <w:color w:val="auto"/>
          <w:sz w:val="21"/>
          <w:szCs w:val="21"/>
        </w:rPr>
        <w:t>、权利及义务</w:t>
      </w:r>
    </w:p>
    <w:p w14:paraId="3590E3DB">
      <w:pPr>
        <w:ind w:firstLine="422" w:firstLineChars="200"/>
        <w:rPr>
          <w:b/>
          <w:bCs/>
          <w:color w:val="auto"/>
          <w:sz w:val="21"/>
          <w:szCs w:val="21"/>
        </w:rPr>
      </w:pPr>
      <w:r>
        <w:rPr>
          <w:rFonts w:hint="eastAsia"/>
          <w:b/>
          <w:bCs/>
          <w:color w:val="auto"/>
          <w:sz w:val="21"/>
          <w:szCs w:val="21"/>
        </w:rPr>
        <w:t>1.甲方的权利及义务</w:t>
      </w:r>
    </w:p>
    <w:p w14:paraId="0DFD2894">
      <w:pPr>
        <w:ind w:firstLine="420" w:firstLineChars="200"/>
        <w:rPr>
          <w:color w:val="auto"/>
          <w:sz w:val="21"/>
          <w:szCs w:val="21"/>
        </w:rPr>
      </w:pPr>
      <w:r>
        <w:rPr>
          <w:rFonts w:hint="eastAsia"/>
          <w:color w:val="auto"/>
          <w:sz w:val="21"/>
          <w:szCs w:val="21"/>
        </w:rPr>
        <w:t>1.1按照项目要求落实专人，配合乙方在服务期限内完成工作，确保系统正常运行，乙方持续提供后续维护；</w:t>
      </w:r>
    </w:p>
    <w:p w14:paraId="61013FE0">
      <w:pPr>
        <w:ind w:firstLine="420" w:firstLineChars="200"/>
        <w:rPr>
          <w:color w:val="auto"/>
          <w:sz w:val="21"/>
          <w:szCs w:val="21"/>
        </w:rPr>
      </w:pPr>
      <w:r>
        <w:rPr>
          <w:rFonts w:hint="eastAsia"/>
          <w:color w:val="auto"/>
          <w:sz w:val="21"/>
          <w:szCs w:val="21"/>
        </w:rPr>
        <w:t>1.2对项目成果进行确认与验收；</w:t>
      </w:r>
    </w:p>
    <w:p w14:paraId="596E96F6">
      <w:pPr>
        <w:ind w:firstLine="420" w:firstLineChars="200"/>
        <w:rPr>
          <w:color w:val="auto"/>
          <w:sz w:val="21"/>
          <w:szCs w:val="21"/>
        </w:rPr>
      </w:pPr>
      <w:r>
        <w:rPr>
          <w:rFonts w:hint="eastAsia"/>
          <w:color w:val="auto"/>
          <w:sz w:val="21"/>
          <w:szCs w:val="21"/>
        </w:rPr>
        <w:t>1.3负责按本协议约定向乙方支付项目资金。</w:t>
      </w:r>
    </w:p>
    <w:p w14:paraId="5698B135">
      <w:pPr>
        <w:ind w:firstLine="422" w:firstLineChars="200"/>
        <w:rPr>
          <w:b/>
          <w:bCs/>
          <w:color w:val="auto"/>
          <w:sz w:val="21"/>
          <w:szCs w:val="21"/>
        </w:rPr>
      </w:pPr>
      <w:r>
        <w:rPr>
          <w:rFonts w:hint="eastAsia"/>
          <w:b/>
          <w:bCs/>
          <w:color w:val="auto"/>
          <w:sz w:val="21"/>
          <w:szCs w:val="21"/>
        </w:rPr>
        <w:t>2.乙方的权利及义务</w:t>
      </w:r>
    </w:p>
    <w:p w14:paraId="117EE36A">
      <w:pPr>
        <w:ind w:firstLine="420" w:firstLineChars="200"/>
        <w:rPr>
          <w:color w:val="auto"/>
          <w:sz w:val="21"/>
          <w:szCs w:val="21"/>
        </w:rPr>
      </w:pPr>
      <w:r>
        <w:rPr>
          <w:rFonts w:hint="eastAsia"/>
          <w:color w:val="auto"/>
          <w:sz w:val="21"/>
          <w:szCs w:val="21"/>
        </w:rPr>
        <w:t>2.1 负责整个项目的需求调研部署与实施及端口的接入，以及项目管理等工作；</w:t>
      </w:r>
    </w:p>
    <w:p w14:paraId="163F0983">
      <w:pPr>
        <w:ind w:firstLine="420" w:firstLineChars="200"/>
        <w:rPr>
          <w:color w:val="auto"/>
          <w:sz w:val="21"/>
          <w:szCs w:val="21"/>
        </w:rPr>
      </w:pPr>
      <w:r>
        <w:rPr>
          <w:rFonts w:hint="eastAsia"/>
          <w:color w:val="auto"/>
          <w:sz w:val="21"/>
          <w:szCs w:val="21"/>
        </w:rPr>
        <w:t>2.2 项目维护服务期满，负责将该项目所涉及软件的使用许可及配套软件交付给甲方；</w:t>
      </w:r>
    </w:p>
    <w:p w14:paraId="0F606E90">
      <w:pPr>
        <w:ind w:firstLine="420" w:firstLineChars="200"/>
        <w:rPr>
          <w:color w:val="auto"/>
          <w:sz w:val="21"/>
          <w:szCs w:val="21"/>
        </w:rPr>
      </w:pPr>
      <w:r>
        <w:rPr>
          <w:rFonts w:hint="eastAsia"/>
          <w:color w:val="auto"/>
          <w:sz w:val="21"/>
          <w:szCs w:val="21"/>
        </w:rPr>
        <w:t>2.3 负责对甲方提出的系统优化、升级及新增功能免费开发、上线及运营维护；</w:t>
      </w:r>
    </w:p>
    <w:p w14:paraId="4A95E03C">
      <w:pPr>
        <w:ind w:firstLine="420" w:firstLineChars="200"/>
        <w:rPr>
          <w:color w:val="auto"/>
          <w:sz w:val="21"/>
          <w:szCs w:val="21"/>
        </w:rPr>
      </w:pPr>
      <w:r>
        <w:rPr>
          <w:rFonts w:hint="eastAsia"/>
          <w:color w:val="auto"/>
          <w:sz w:val="21"/>
          <w:szCs w:val="21"/>
        </w:rPr>
        <w:t>2.4 乙方保证系统服务产品不包含任何明显的或主要的缺陷、错误，不包含任何恶意的、破坏性的或可能导致未经授权者侵入、操作、控制计算机或计算机数据的计算机病毒、木马程序、后门程序等程序设计或程序代码。</w:t>
      </w:r>
    </w:p>
    <w:bookmarkEnd w:id="4"/>
    <w:bookmarkEnd w:id="5"/>
    <w:bookmarkEnd w:id="6"/>
    <w:bookmarkEnd w:id="7"/>
    <w:bookmarkEnd w:id="8"/>
    <w:p w14:paraId="49109F23">
      <w:pPr>
        <w:rPr>
          <w:rFonts w:ascii="Times New Roman" w:hAnsi="Times New Roman" w:eastAsia="宋体" w:cs="Times New Roman"/>
          <w:b/>
          <w:bCs/>
          <w:color w:val="auto"/>
          <w:sz w:val="21"/>
          <w:szCs w:val="21"/>
        </w:rPr>
      </w:pPr>
      <w:bookmarkStart w:id="9" w:name="_Toc207507805"/>
      <w:bookmarkStart w:id="10" w:name="_Toc207506009"/>
      <w:bookmarkStart w:id="11" w:name="_Toc207506207"/>
      <w:bookmarkStart w:id="12" w:name="_Toc207506332"/>
      <w:bookmarkStart w:id="13" w:name="_Toc207507183"/>
      <w:r>
        <w:rPr>
          <w:rFonts w:hint="eastAsia" w:ascii="Times New Roman" w:hAnsi="Times New Roman" w:eastAsia="宋体" w:cs="Times New Roman"/>
          <w:b/>
          <w:bCs/>
          <w:color w:val="auto"/>
          <w:sz w:val="21"/>
          <w:szCs w:val="21"/>
          <w:lang w:val="en-US" w:eastAsia="zh-CN"/>
        </w:rPr>
        <w:t>五</w:t>
      </w:r>
      <w:r>
        <w:rPr>
          <w:rFonts w:hint="eastAsia" w:ascii="Times New Roman" w:hAnsi="Times New Roman" w:eastAsia="宋体" w:cs="Times New Roman"/>
          <w:b/>
          <w:bCs/>
          <w:color w:val="auto"/>
          <w:sz w:val="21"/>
          <w:szCs w:val="21"/>
        </w:rPr>
        <w:t>、</w:t>
      </w:r>
      <w:bookmarkEnd w:id="9"/>
      <w:bookmarkEnd w:id="10"/>
      <w:bookmarkEnd w:id="11"/>
      <w:bookmarkEnd w:id="12"/>
      <w:bookmarkEnd w:id="13"/>
      <w:r>
        <w:rPr>
          <w:rFonts w:hint="eastAsia" w:ascii="Times New Roman" w:hAnsi="Times New Roman" w:eastAsia="宋体" w:cs="Times New Roman"/>
          <w:b/>
          <w:bCs/>
          <w:color w:val="auto"/>
          <w:sz w:val="21"/>
          <w:szCs w:val="21"/>
        </w:rPr>
        <w:t>知识产权</w:t>
      </w:r>
    </w:p>
    <w:p w14:paraId="7294D34C">
      <w:pPr>
        <w:ind w:firstLine="420" w:firstLineChars="200"/>
        <w:rPr>
          <w:color w:val="auto"/>
          <w:sz w:val="21"/>
          <w:szCs w:val="21"/>
        </w:rPr>
      </w:pPr>
      <w:r>
        <w:rPr>
          <w:rFonts w:hint="eastAsia"/>
          <w:color w:val="auto"/>
          <w:sz w:val="21"/>
          <w:szCs w:val="21"/>
        </w:rPr>
        <w:t>乙方保证向甲方提供的项目及软件产品和服务不存在任何侵犯第三方知识产权的情形，并承担因侵犯第双方知识产权所造成的一切后果；在此前提下，甲方同意接受、使用乙方产品或服务。</w:t>
      </w:r>
    </w:p>
    <w:p w14:paraId="42BE6E3A">
      <w:pPr>
        <w:rPr>
          <w:rFonts w:ascii="Times New Roman" w:hAnsi="Times New Roman" w:eastAsia="宋体" w:cs="Times New Roman"/>
          <w:b/>
          <w:bCs/>
          <w:color w:val="auto"/>
          <w:sz w:val="21"/>
          <w:szCs w:val="21"/>
        </w:rPr>
      </w:pPr>
      <w:bookmarkStart w:id="14" w:name="_Toc68321945"/>
      <w:r>
        <w:rPr>
          <w:rFonts w:hint="eastAsia" w:ascii="Times New Roman" w:hAnsi="Times New Roman" w:eastAsia="宋体" w:cs="Times New Roman"/>
          <w:b/>
          <w:bCs/>
          <w:color w:val="auto"/>
          <w:sz w:val="21"/>
          <w:szCs w:val="21"/>
          <w:lang w:val="en-US" w:eastAsia="zh-CN"/>
        </w:rPr>
        <w:t>六</w:t>
      </w:r>
      <w:r>
        <w:rPr>
          <w:rFonts w:hint="eastAsia" w:ascii="Times New Roman" w:hAnsi="Times New Roman" w:eastAsia="宋体" w:cs="Times New Roman"/>
          <w:b/>
          <w:bCs/>
          <w:color w:val="auto"/>
          <w:sz w:val="21"/>
          <w:szCs w:val="21"/>
        </w:rPr>
        <w:t>、违约</w:t>
      </w:r>
      <w:bookmarkEnd w:id="14"/>
      <w:r>
        <w:rPr>
          <w:rFonts w:hint="eastAsia" w:ascii="Times New Roman" w:hAnsi="Times New Roman" w:eastAsia="宋体" w:cs="Times New Roman"/>
          <w:b/>
          <w:bCs/>
          <w:color w:val="auto"/>
          <w:sz w:val="21"/>
          <w:szCs w:val="21"/>
        </w:rPr>
        <w:t>责任</w:t>
      </w:r>
    </w:p>
    <w:p w14:paraId="18C6EA38">
      <w:pPr>
        <w:ind w:firstLine="420" w:firstLineChars="200"/>
        <w:rPr>
          <w:color w:val="auto"/>
          <w:sz w:val="21"/>
          <w:szCs w:val="21"/>
        </w:rPr>
      </w:pPr>
      <w:r>
        <w:rPr>
          <w:rFonts w:hint="eastAsia"/>
          <w:color w:val="auto"/>
          <w:sz w:val="21"/>
          <w:szCs w:val="21"/>
        </w:rPr>
        <w:t>验收时，乙方未按约定完成本协议约定的维保服务的，或未按约定提供软件产品更新、补丁、版本升级的，甲方有权要求乙方继续履行或采取补救措施，甲方同时有权就每一违约事件按照总价款的 10％向乙方收取违约金，违约金不足以补偿甲方损失的，乙方还应当赔偿甲方相应损失；乙方违约行为给甲方造成重大损失的，甲方同时有权解除本协议。</w:t>
      </w:r>
    </w:p>
    <w:p w14:paraId="11507601">
      <w:pPr>
        <w:rPr>
          <w:rFonts w:ascii="Times New Roman" w:hAnsi="Times New Roman" w:eastAsia="宋体" w:cs="Times New Roman"/>
          <w:b/>
          <w:bCs/>
          <w:color w:val="auto"/>
          <w:sz w:val="21"/>
          <w:szCs w:val="21"/>
        </w:rPr>
      </w:pPr>
      <w:r>
        <w:rPr>
          <w:rFonts w:hint="eastAsia" w:ascii="Times New Roman" w:hAnsi="Times New Roman" w:eastAsia="宋体" w:cs="Times New Roman"/>
          <w:b/>
          <w:bCs/>
          <w:color w:val="auto"/>
          <w:sz w:val="21"/>
          <w:szCs w:val="21"/>
          <w:lang w:val="en-US" w:eastAsia="zh-CN"/>
        </w:rPr>
        <w:t>七</w:t>
      </w:r>
      <w:r>
        <w:rPr>
          <w:rFonts w:hint="eastAsia" w:ascii="Times New Roman" w:hAnsi="Times New Roman" w:eastAsia="宋体" w:cs="Times New Roman"/>
          <w:b/>
          <w:bCs/>
          <w:color w:val="auto"/>
          <w:sz w:val="21"/>
          <w:szCs w:val="21"/>
        </w:rPr>
        <w:t>、不可抗力</w:t>
      </w:r>
    </w:p>
    <w:p w14:paraId="25D18B83">
      <w:pPr>
        <w:ind w:firstLine="420" w:firstLineChars="200"/>
        <w:rPr>
          <w:color w:val="auto"/>
          <w:sz w:val="21"/>
          <w:szCs w:val="21"/>
        </w:rPr>
      </w:pPr>
      <w:r>
        <w:rPr>
          <w:rFonts w:hint="eastAsia"/>
          <w:color w:val="auto"/>
          <w:sz w:val="21"/>
          <w:szCs w:val="21"/>
        </w:rPr>
        <w:t>1.</w:t>
      </w:r>
      <w:r>
        <w:rPr>
          <w:color w:val="auto"/>
          <w:sz w:val="21"/>
          <w:szCs w:val="21"/>
        </w:rPr>
        <w:t>因台风、地震、水灾</w:t>
      </w:r>
      <w:r>
        <w:rPr>
          <w:rFonts w:hint="eastAsia"/>
          <w:color w:val="auto"/>
          <w:sz w:val="21"/>
          <w:szCs w:val="21"/>
        </w:rPr>
        <w:t>、瘟疫</w:t>
      </w:r>
      <w:r>
        <w:rPr>
          <w:color w:val="auto"/>
          <w:sz w:val="21"/>
          <w:szCs w:val="21"/>
        </w:rPr>
        <w:t>等不可预见并且</w:t>
      </w:r>
      <w:r>
        <w:rPr>
          <w:rFonts w:hint="eastAsia"/>
          <w:color w:val="auto"/>
          <w:sz w:val="21"/>
          <w:szCs w:val="21"/>
        </w:rPr>
        <w:t>双方</w:t>
      </w:r>
      <w:r>
        <w:rPr>
          <w:color w:val="auto"/>
          <w:sz w:val="21"/>
          <w:szCs w:val="21"/>
        </w:rPr>
        <w:t>对其发生和后果不能避免、不能克服的客观情况为不可抗力</w:t>
      </w:r>
      <w:r>
        <w:rPr>
          <w:rFonts w:hint="eastAsia"/>
          <w:color w:val="auto"/>
          <w:sz w:val="21"/>
          <w:szCs w:val="21"/>
        </w:rPr>
        <w:t>；</w:t>
      </w:r>
    </w:p>
    <w:p w14:paraId="12E2156B">
      <w:pPr>
        <w:ind w:firstLine="420" w:firstLineChars="200"/>
        <w:rPr>
          <w:color w:val="auto"/>
          <w:sz w:val="21"/>
          <w:szCs w:val="21"/>
        </w:rPr>
      </w:pPr>
      <w:r>
        <w:rPr>
          <w:rFonts w:hint="eastAsia"/>
          <w:color w:val="auto"/>
          <w:sz w:val="21"/>
          <w:szCs w:val="21"/>
        </w:rPr>
        <w:t>2.</w:t>
      </w:r>
      <w:r>
        <w:rPr>
          <w:color w:val="auto"/>
          <w:sz w:val="21"/>
          <w:szCs w:val="21"/>
        </w:rPr>
        <w:t>由于不可抗力的因素对履行合同产生影响时，受影响的一方，应立即将事件情况通知对方</w:t>
      </w:r>
      <w:r>
        <w:rPr>
          <w:rFonts w:hint="eastAsia"/>
          <w:color w:val="auto"/>
          <w:sz w:val="21"/>
          <w:szCs w:val="21"/>
        </w:rPr>
        <w:t>，</w:t>
      </w:r>
      <w:r>
        <w:rPr>
          <w:color w:val="auto"/>
          <w:sz w:val="21"/>
          <w:szCs w:val="21"/>
        </w:rPr>
        <w:t>并在5</w:t>
      </w:r>
      <w:r>
        <w:rPr>
          <w:rFonts w:hint="eastAsia"/>
          <w:color w:val="auto"/>
          <w:sz w:val="21"/>
          <w:szCs w:val="21"/>
        </w:rPr>
        <w:t>个</w:t>
      </w:r>
      <w:r>
        <w:rPr>
          <w:color w:val="auto"/>
          <w:sz w:val="21"/>
          <w:szCs w:val="21"/>
        </w:rPr>
        <w:t>工作日内提供事件详情以及合同不能履行、或部分不能履行、或需要延期履行的理由的有效证明文件。按不可抗力事件对履行本合同的影响程度，由</w:t>
      </w:r>
      <w:r>
        <w:rPr>
          <w:rFonts w:hint="eastAsia"/>
          <w:color w:val="auto"/>
          <w:sz w:val="21"/>
          <w:szCs w:val="21"/>
        </w:rPr>
        <w:t>双方</w:t>
      </w:r>
      <w:r>
        <w:rPr>
          <w:color w:val="auto"/>
          <w:sz w:val="21"/>
          <w:szCs w:val="21"/>
        </w:rPr>
        <w:t>协商决定是否解除合同、部</w:t>
      </w:r>
      <w:r>
        <w:rPr>
          <w:rFonts w:hint="eastAsia"/>
          <w:color w:val="auto"/>
          <w:sz w:val="21"/>
          <w:szCs w:val="21"/>
        </w:rPr>
        <w:t>分免除或变更合同的责任</w:t>
      </w:r>
      <w:r>
        <w:rPr>
          <w:color w:val="auto"/>
          <w:sz w:val="21"/>
          <w:szCs w:val="21"/>
        </w:rPr>
        <w:t>，或延期履行合同</w:t>
      </w:r>
      <w:r>
        <w:rPr>
          <w:rFonts w:hint="eastAsia"/>
          <w:color w:val="auto"/>
          <w:sz w:val="21"/>
          <w:szCs w:val="21"/>
        </w:rPr>
        <w:t>。</w:t>
      </w:r>
    </w:p>
    <w:p w14:paraId="65616FDE">
      <w:pPr>
        <w:rPr>
          <w:rFonts w:ascii="Times New Roman" w:hAnsi="Times New Roman" w:eastAsia="宋体" w:cs="Times New Roman"/>
          <w:b/>
          <w:bCs/>
          <w:color w:val="auto"/>
          <w:sz w:val="21"/>
          <w:szCs w:val="21"/>
        </w:rPr>
      </w:pPr>
      <w:r>
        <w:rPr>
          <w:rFonts w:hint="eastAsia" w:ascii="Times New Roman" w:hAnsi="Times New Roman" w:eastAsia="宋体" w:cs="Times New Roman"/>
          <w:b/>
          <w:bCs/>
          <w:color w:val="auto"/>
          <w:sz w:val="21"/>
          <w:szCs w:val="21"/>
          <w:lang w:val="en-US" w:eastAsia="zh-CN"/>
        </w:rPr>
        <w:t>八</w:t>
      </w:r>
      <w:r>
        <w:rPr>
          <w:rFonts w:hint="eastAsia" w:ascii="Times New Roman" w:hAnsi="Times New Roman" w:eastAsia="宋体" w:cs="Times New Roman"/>
          <w:b/>
          <w:bCs/>
          <w:color w:val="auto"/>
          <w:sz w:val="21"/>
          <w:szCs w:val="21"/>
        </w:rPr>
        <w:t>、其他约定</w:t>
      </w:r>
    </w:p>
    <w:p w14:paraId="4F5CFE45">
      <w:pPr>
        <w:ind w:firstLine="420" w:firstLineChars="200"/>
        <w:rPr>
          <w:color w:val="auto"/>
          <w:sz w:val="21"/>
          <w:szCs w:val="21"/>
        </w:rPr>
      </w:pPr>
      <w:r>
        <w:rPr>
          <w:rFonts w:hint="eastAsia"/>
          <w:color w:val="auto"/>
          <w:sz w:val="21"/>
          <w:szCs w:val="21"/>
        </w:rPr>
        <w:t>1.本协议适用中华人民共和国法律。</w:t>
      </w:r>
    </w:p>
    <w:p w14:paraId="2095496D">
      <w:pPr>
        <w:ind w:firstLine="420" w:firstLineChars="200"/>
        <w:rPr>
          <w:color w:val="auto"/>
          <w:sz w:val="21"/>
          <w:szCs w:val="21"/>
        </w:rPr>
      </w:pPr>
      <w:r>
        <w:rPr>
          <w:rFonts w:hint="eastAsia"/>
          <w:color w:val="auto"/>
          <w:sz w:val="21"/>
          <w:szCs w:val="21"/>
        </w:rPr>
        <w:t>2.合同在履行过程如发生争议，</w:t>
      </w:r>
      <w:r>
        <w:rPr>
          <w:color w:val="auto"/>
          <w:sz w:val="21"/>
          <w:szCs w:val="21"/>
        </w:rPr>
        <w:t>由当事人</w:t>
      </w:r>
      <w:r>
        <w:rPr>
          <w:rFonts w:hint="eastAsia"/>
          <w:color w:val="auto"/>
          <w:sz w:val="21"/>
          <w:szCs w:val="21"/>
        </w:rPr>
        <w:t>双方</w:t>
      </w:r>
      <w:r>
        <w:rPr>
          <w:color w:val="auto"/>
          <w:sz w:val="21"/>
          <w:szCs w:val="21"/>
        </w:rPr>
        <w:t>协商解决。协商不成</w:t>
      </w:r>
      <w:r>
        <w:rPr>
          <w:rFonts w:hint="eastAsia"/>
          <w:color w:val="auto"/>
          <w:sz w:val="21"/>
          <w:szCs w:val="21"/>
        </w:rPr>
        <w:t>，甲乙双方</w:t>
      </w:r>
      <w:r>
        <w:rPr>
          <w:color w:val="auto"/>
          <w:sz w:val="21"/>
          <w:szCs w:val="21"/>
        </w:rPr>
        <w:t>同意由</w:t>
      </w:r>
      <w:r>
        <w:rPr>
          <w:rFonts w:hint="eastAsia"/>
          <w:color w:val="auto"/>
          <w:sz w:val="21"/>
          <w:szCs w:val="21"/>
        </w:rPr>
        <w:t>甲方</w:t>
      </w:r>
      <w:r>
        <w:rPr>
          <w:color w:val="auto"/>
          <w:sz w:val="21"/>
          <w:szCs w:val="21"/>
        </w:rPr>
        <w:t>所在地有管辖权的人民法院起诉。</w:t>
      </w:r>
    </w:p>
    <w:p w14:paraId="7F519DD6">
      <w:pPr>
        <w:ind w:firstLine="420" w:firstLineChars="200"/>
        <w:rPr>
          <w:color w:val="auto"/>
          <w:sz w:val="21"/>
          <w:szCs w:val="21"/>
        </w:rPr>
      </w:pPr>
      <w:r>
        <w:rPr>
          <w:rFonts w:hint="eastAsia"/>
          <w:color w:val="auto"/>
          <w:sz w:val="21"/>
          <w:szCs w:val="21"/>
        </w:rPr>
        <w:t>3.在诉讼期间，本协议不涉及争议的条款仍须履行。</w:t>
      </w:r>
    </w:p>
    <w:p w14:paraId="719EC5B0">
      <w:pPr>
        <w:ind w:firstLine="420" w:firstLineChars="200"/>
        <w:rPr>
          <w:color w:val="auto"/>
          <w:sz w:val="21"/>
          <w:szCs w:val="21"/>
        </w:rPr>
      </w:pPr>
      <w:r>
        <w:rPr>
          <w:rFonts w:hint="eastAsia"/>
          <w:color w:val="auto"/>
          <w:sz w:val="21"/>
          <w:szCs w:val="21"/>
        </w:rPr>
        <w:t>4.任何一方均未授权对方在未经事先书面同意的情况下代表其从事任何除合作项目以外业务的行为。</w:t>
      </w:r>
    </w:p>
    <w:p w14:paraId="4B4C0B8F">
      <w:pPr>
        <w:rPr>
          <w:rFonts w:ascii="Times New Roman" w:hAnsi="Times New Roman" w:eastAsia="宋体" w:cs="Times New Roman"/>
          <w:b/>
          <w:bCs/>
          <w:color w:val="auto"/>
          <w:sz w:val="21"/>
          <w:szCs w:val="21"/>
        </w:rPr>
      </w:pPr>
      <w:r>
        <w:rPr>
          <w:rFonts w:hint="eastAsia" w:ascii="Times New Roman" w:hAnsi="Times New Roman" w:eastAsia="宋体" w:cs="Times New Roman"/>
          <w:b/>
          <w:bCs/>
          <w:color w:val="auto"/>
          <w:sz w:val="21"/>
          <w:szCs w:val="21"/>
          <w:lang w:val="en-US" w:eastAsia="zh-CN"/>
        </w:rPr>
        <w:t>九</w:t>
      </w:r>
      <w:r>
        <w:rPr>
          <w:rFonts w:hint="eastAsia" w:ascii="Times New Roman" w:hAnsi="Times New Roman" w:eastAsia="宋体" w:cs="Times New Roman"/>
          <w:b/>
          <w:bCs/>
          <w:color w:val="auto"/>
          <w:sz w:val="21"/>
          <w:szCs w:val="21"/>
        </w:rPr>
        <w:t>、其他</w:t>
      </w:r>
    </w:p>
    <w:p w14:paraId="7DBC7853">
      <w:pPr>
        <w:ind w:firstLine="420" w:firstLineChars="200"/>
        <w:rPr>
          <w:color w:val="auto"/>
          <w:sz w:val="21"/>
          <w:szCs w:val="21"/>
        </w:rPr>
      </w:pPr>
      <w:r>
        <w:rPr>
          <w:rFonts w:hint="eastAsia"/>
          <w:color w:val="auto"/>
          <w:sz w:val="21"/>
          <w:szCs w:val="21"/>
        </w:rPr>
        <w:t>1.本合同之未尽事宜</w:t>
      </w:r>
      <w:r>
        <w:rPr>
          <w:color w:val="auto"/>
          <w:sz w:val="21"/>
          <w:szCs w:val="21"/>
        </w:rPr>
        <w:t xml:space="preserve"> ，</w:t>
      </w:r>
      <w:r>
        <w:rPr>
          <w:rFonts w:hint="eastAsia"/>
          <w:color w:val="auto"/>
          <w:sz w:val="21"/>
          <w:szCs w:val="21"/>
        </w:rPr>
        <w:t>甲乙双方</w:t>
      </w:r>
      <w:r>
        <w:rPr>
          <w:color w:val="auto"/>
          <w:sz w:val="21"/>
          <w:szCs w:val="21"/>
        </w:rPr>
        <w:t>同意以补充协议或其它书面形</w:t>
      </w:r>
      <w:r>
        <w:rPr>
          <w:rFonts w:hint="eastAsia"/>
          <w:color w:val="auto"/>
          <w:sz w:val="21"/>
          <w:szCs w:val="21"/>
        </w:rPr>
        <w:t>式另行约定；</w:t>
      </w:r>
    </w:p>
    <w:p w14:paraId="0917044A">
      <w:pPr>
        <w:ind w:firstLine="420" w:firstLineChars="200"/>
        <w:rPr>
          <w:color w:val="auto"/>
          <w:sz w:val="21"/>
          <w:szCs w:val="21"/>
        </w:rPr>
      </w:pPr>
      <w:r>
        <w:rPr>
          <w:rFonts w:hint="eastAsia"/>
          <w:color w:val="auto"/>
          <w:sz w:val="21"/>
          <w:szCs w:val="21"/>
        </w:rPr>
        <w:t>2.本协议经甲、乙双方法定代表人（负责人）或授权代理人签字并加盖公章后生效。若使用合同专用章，则需出具合同专用章与公章具备同等法律效应的书面说明。</w:t>
      </w:r>
    </w:p>
    <w:p w14:paraId="0B5C1975">
      <w:pPr>
        <w:ind w:firstLine="420" w:firstLineChars="200"/>
        <w:rPr>
          <w:color w:val="auto"/>
          <w:sz w:val="21"/>
          <w:szCs w:val="21"/>
        </w:rPr>
      </w:pPr>
      <w:r>
        <w:rPr>
          <w:rFonts w:hint="eastAsia"/>
          <w:color w:val="auto"/>
          <w:sz w:val="21"/>
          <w:szCs w:val="21"/>
        </w:rPr>
        <w:t>3.</w:t>
      </w:r>
      <w:r>
        <w:rPr>
          <w:color w:val="auto"/>
          <w:sz w:val="21"/>
          <w:szCs w:val="21"/>
        </w:rPr>
        <w:t>本合同</w:t>
      </w:r>
      <w:r>
        <w:rPr>
          <w:rFonts w:hint="eastAsia"/>
          <w:color w:val="auto"/>
          <w:sz w:val="21"/>
          <w:szCs w:val="21"/>
          <w:lang w:val="en-US" w:eastAsia="zh-CN"/>
        </w:rPr>
        <w:t>一</w:t>
      </w:r>
      <w:r>
        <w:rPr>
          <w:color w:val="auto"/>
          <w:sz w:val="21"/>
          <w:szCs w:val="21"/>
        </w:rPr>
        <w:t>式</w:t>
      </w:r>
      <w:r>
        <w:rPr>
          <w:rFonts w:hint="eastAsia"/>
          <w:color w:val="auto"/>
          <w:sz w:val="21"/>
          <w:szCs w:val="21"/>
          <w:u w:val="single"/>
          <w:lang w:val="en-US" w:eastAsia="zh-CN"/>
        </w:rPr>
        <w:t xml:space="preserve">   </w:t>
      </w:r>
      <w:r>
        <w:rPr>
          <w:color w:val="auto"/>
          <w:sz w:val="21"/>
          <w:szCs w:val="21"/>
        </w:rPr>
        <w:t>份，</w:t>
      </w:r>
      <w:r>
        <w:rPr>
          <w:rFonts w:hint="eastAsia"/>
          <w:color w:val="auto"/>
          <w:sz w:val="21"/>
          <w:szCs w:val="21"/>
        </w:rPr>
        <w:t>其中甲乙双方各执</w:t>
      </w:r>
      <w:r>
        <w:rPr>
          <w:rFonts w:hint="eastAsia"/>
          <w:color w:val="auto"/>
          <w:sz w:val="21"/>
          <w:szCs w:val="21"/>
          <w:u w:val="single"/>
          <w:lang w:val="en-US" w:eastAsia="zh-CN"/>
        </w:rPr>
        <w:t xml:space="preserve">    </w:t>
      </w:r>
      <w:r>
        <w:rPr>
          <w:rFonts w:hint="eastAsia"/>
          <w:color w:val="auto"/>
          <w:sz w:val="21"/>
          <w:szCs w:val="21"/>
        </w:rPr>
        <w:t>份</w:t>
      </w:r>
      <w:r>
        <w:rPr>
          <w:rFonts w:hint="eastAsia"/>
          <w:color w:val="auto"/>
          <w:sz w:val="21"/>
          <w:szCs w:val="21"/>
          <w:lang w:eastAsia="zh-CN"/>
        </w:rPr>
        <w:t>，</w:t>
      </w:r>
      <w:r>
        <w:rPr>
          <w:color w:val="auto"/>
          <w:sz w:val="21"/>
          <w:szCs w:val="21"/>
        </w:rPr>
        <w:t>均具有同等法律效力。</w:t>
      </w:r>
    </w:p>
    <w:p w14:paraId="608CFC5B">
      <w:pPr>
        <w:pStyle w:val="5"/>
        <w:ind w:firstLine="420" w:firstLineChars="200"/>
        <w:rPr>
          <w:rFonts w:hAnsi="宋体" w:eastAsia="宋体" w:cs="宋体"/>
          <w:color w:val="auto"/>
          <w:sz w:val="21"/>
        </w:rPr>
      </w:pPr>
      <w:r>
        <w:rPr>
          <w:rFonts w:hint="eastAsia" w:hAnsi="宋体" w:eastAsia="宋体" w:cs="宋体"/>
          <w:color w:val="auto"/>
          <w:sz w:val="21"/>
        </w:rPr>
        <w:br w:type="page"/>
      </w:r>
    </w:p>
    <w:tbl>
      <w:tblPr>
        <w:tblStyle w:val="6"/>
        <w:tblW w:w="4995" w:type="pct"/>
        <w:tblInd w:w="0" w:type="dxa"/>
        <w:tblLayout w:type="autofit"/>
        <w:tblCellMar>
          <w:top w:w="0" w:type="dxa"/>
          <w:left w:w="108" w:type="dxa"/>
          <w:bottom w:w="0" w:type="dxa"/>
          <w:right w:w="108" w:type="dxa"/>
        </w:tblCellMar>
      </w:tblPr>
      <w:tblGrid>
        <w:gridCol w:w="4480"/>
        <w:gridCol w:w="4847"/>
      </w:tblGrid>
      <w:tr w14:paraId="7768D9B0">
        <w:tblPrEx>
          <w:tblCellMar>
            <w:top w:w="0" w:type="dxa"/>
            <w:left w:w="108" w:type="dxa"/>
            <w:bottom w:w="0" w:type="dxa"/>
            <w:right w:w="108" w:type="dxa"/>
          </w:tblCellMar>
        </w:tblPrEx>
        <w:trPr>
          <w:trHeight w:val="390" w:hRule="atLeast"/>
        </w:trPr>
        <w:tc>
          <w:tcPr>
            <w:tcW w:w="2401" w:type="pct"/>
            <w:tcBorders>
              <w:tl2br w:val="nil"/>
              <w:tr2bl w:val="nil"/>
            </w:tcBorders>
            <w:vAlign w:val="center"/>
          </w:tcPr>
          <w:p w14:paraId="52E74011">
            <w:pPr>
              <w:widowControl/>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采购人（甲方）：</w:t>
            </w:r>
          </w:p>
        </w:tc>
        <w:tc>
          <w:tcPr>
            <w:tcW w:w="2598" w:type="pct"/>
            <w:tcBorders>
              <w:tl2br w:val="nil"/>
              <w:tr2bl w:val="nil"/>
            </w:tcBorders>
            <w:vAlign w:val="center"/>
          </w:tcPr>
          <w:p w14:paraId="178C90FB">
            <w:pPr>
              <w:widowControl/>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供应商（乙方）：</w:t>
            </w:r>
          </w:p>
        </w:tc>
      </w:tr>
      <w:tr w14:paraId="6E989AD8">
        <w:tblPrEx>
          <w:tblCellMar>
            <w:top w:w="0" w:type="dxa"/>
            <w:left w:w="108" w:type="dxa"/>
            <w:bottom w:w="0" w:type="dxa"/>
            <w:right w:w="108" w:type="dxa"/>
          </w:tblCellMar>
        </w:tblPrEx>
        <w:trPr>
          <w:trHeight w:val="1193" w:hRule="atLeast"/>
        </w:trPr>
        <w:tc>
          <w:tcPr>
            <w:tcW w:w="2401" w:type="pct"/>
            <w:tcBorders>
              <w:tl2br w:val="nil"/>
              <w:tr2bl w:val="nil"/>
            </w:tcBorders>
            <w:vAlign w:val="center"/>
          </w:tcPr>
          <w:p w14:paraId="49C62BA6">
            <w:pPr>
              <w:widowControl/>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（盖章）</w:t>
            </w:r>
          </w:p>
        </w:tc>
        <w:tc>
          <w:tcPr>
            <w:tcW w:w="2598" w:type="pct"/>
            <w:tcBorders>
              <w:tl2br w:val="nil"/>
              <w:tr2bl w:val="nil"/>
            </w:tcBorders>
            <w:vAlign w:val="center"/>
          </w:tcPr>
          <w:p w14:paraId="5E109CB6">
            <w:pPr>
              <w:widowControl/>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（盖章）</w:t>
            </w:r>
          </w:p>
        </w:tc>
      </w:tr>
      <w:tr w14:paraId="2B71069B">
        <w:tblPrEx>
          <w:tblCellMar>
            <w:top w:w="0" w:type="dxa"/>
            <w:left w:w="108" w:type="dxa"/>
            <w:bottom w:w="0" w:type="dxa"/>
            <w:right w:w="108" w:type="dxa"/>
          </w:tblCellMar>
        </w:tblPrEx>
        <w:trPr>
          <w:trHeight w:val="390" w:hRule="atLeast"/>
        </w:trPr>
        <w:tc>
          <w:tcPr>
            <w:tcW w:w="2401" w:type="pct"/>
            <w:tcBorders>
              <w:tl2br w:val="nil"/>
              <w:tr2bl w:val="nil"/>
            </w:tcBorders>
            <w:vAlign w:val="center"/>
          </w:tcPr>
          <w:p w14:paraId="7E0DA132">
            <w:pPr>
              <w:widowControl/>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地址：</w:t>
            </w:r>
          </w:p>
        </w:tc>
        <w:tc>
          <w:tcPr>
            <w:tcW w:w="2598" w:type="pct"/>
            <w:tcBorders>
              <w:tl2br w:val="nil"/>
              <w:tr2bl w:val="nil"/>
            </w:tcBorders>
            <w:vAlign w:val="center"/>
          </w:tcPr>
          <w:p w14:paraId="56E1CD19">
            <w:pPr>
              <w:widowControl/>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地址：</w:t>
            </w:r>
          </w:p>
        </w:tc>
      </w:tr>
      <w:tr w14:paraId="4DFCD279">
        <w:tblPrEx>
          <w:tblCellMar>
            <w:top w:w="0" w:type="dxa"/>
            <w:left w:w="108" w:type="dxa"/>
            <w:bottom w:w="0" w:type="dxa"/>
            <w:right w:w="108" w:type="dxa"/>
          </w:tblCellMar>
        </w:tblPrEx>
        <w:trPr>
          <w:trHeight w:val="390" w:hRule="atLeast"/>
        </w:trPr>
        <w:tc>
          <w:tcPr>
            <w:tcW w:w="2401" w:type="pct"/>
            <w:tcBorders>
              <w:tl2br w:val="nil"/>
              <w:tr2bl w:val="nil"/>
            </w:tcBorders>
            <w:vAlign w:val="center"/>
          </w:tcPr>
          <w:p w14:paraId="725B6096">
            <w:pPr>
              <w:widowControl/>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邮编：</w:t>
            </w:r>
          </w:p>
        </w:tc>
        <w:tc>
          <w:tcPr>
            <w:tcW w:w="2598" w:type="pct"/>
            <w:tcBorders>
              <w:tl2br w:val="nil"/>
              <w:tr2bl w:val="nil"/>
            </w:tcBorders>
            <w:vAlign w:val="center"/>
          </w:tcPr>
          <w:p w14:paraId="59B366AD">
            <w:pPr>
              <w:widowControl/>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邮编：</w:t>
            </w:r>
          </w:p>
        </w:tc>
      </w:tr>
      <w:tr w14:paraId="4E7E92D5">
        <w:tblPrEx>
          <w:tblCellMar>
            <w:top w:w="0" w:type="dxa"/>
            <w:left w:w="108" w:type="dxa"/>
            <w:bottom w:w="0" w:type="dxa"/>
            <w:right w:w="108" w:type="dxa"/>
          </w:tblCellMar>
        </w:tblPrEx>
        <w:trPr>
          <w:trHeight w:val="576" w:hRule="atLeast"/>
        </w:trPr>
        <w:tc>
          <w:tcPr>
            <w:tcW w:w="2401" w:type="pct"/>
            <w:vMerge w:val="restart"/>
            <w:tcBorders>
              <w:tl2br w:val="nil"/>
              <w:tr2bl w:val="nil"/>
            </w:tcBorders>
            <w:vAlign w:val="center"/>
          </w:tcPr>
          <w:p w14:paraId="7E743E59">
            <w:pPr>
              <w:widowControl/>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全权代表：（签字）</w:t>
            </w:r>
          </w:p>
        </w:tc>
        <w:tc>
          <w:tcPr>
            <w:tcW w:w="2598" w:type="pct"/>
            <w:tcBorders>
              <w:tl2br w:val="nil"/>
              <w:tr2bl w:val="nil"/>
            </w:tcBorders>
            <w:vAlign w:val="center"/>
          </w:tcPr>
          <w:p w14:paraId="2466D229">
            <w:pPr>
              <w:widowControl/>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法定代表人：</w:t>
            </w:r>
          </w:p>
        </w:tc>
      </w:tr>
      <w:tr w14:paraId="11029E1F">
        <w:tblPrEx>
          <w:tblCellMar>
            <w:top w:w="0" w:type="dxa"/>
            <w:left w:w="108" w:type="dxa"/>
            <w:bottom w:w="0" w:type="dxa"/>
            <w:right w:w="108" w:type="dxa"/>
          </w:tblCellMar>
        </w:tblPrEx>
        <w:trPr>
          <w:trHeight w:val="502" w:hRule="atLeast"/>
        </w:trPr>
        <w:tc>
          <w:tcPr>
            <w:tcW w:w="2401" w:type="pct"/>
            <w:vMerge w:val="continue"/>
            <w:tcBorders>
              <w:tl2br w:val="nil"/>
              <w:tr2bl w:val="nil"/>
            </w:tcBorders>
            <w:vAlign w:val="center"/>
          </w:tcPr>
          <w:p w14:paraId="0DF292F1">
            <w:pPr>
              <w:widowControl/>
              <w:jc w:val="left"/>
              <w:rPr>
                <w:rFonts w:ascii="宋体" w:hAnsi="宋体" w:eastAsia="宋体" w:cs="宋体"/>
                <w:color w:val="auto"/>
                <w:kern w:val="0"/>
                <w:sz w:val="21"/>
                <w:szCs w:val="21"/>
              </w:rPr>
            </w:pPr>
          </w:p>
        </w:tc>
        <w:tc>
          <w:tcPr>
            <w:tcW w:w="2598" w:type="pct"/>
            <w:tcBorders>
              <w:tl2br w:val="nil"/>
              <w:tr2bl w:val="nil"/>
            </w:tcBorders>
            <w:vAlign w:val="center"/>
          </w:tcPr>
          <w:p w14:paraId="67FE9DD4">
            <w:pPr>
              <w:widowControl/>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被授权代表：（签字）</w:t>
            </w:r>
          </w:p>
        </w:tc>
      </w:tr>
      <w:tr w14:paraId="1CEC95D7">
        <w:tblPrEx>
          <w:tblCellMar>
            <w:top w:w="0" w:type="dxa"/>
            <w:left w:w="108" w:type="dxa"/>
            <w:bottom w:w="0" w:type="dxa"/>
            <w:right w:w="108" w:type="dxa"/>
          </w:tblCellMar>
        </w:tblPrEx>
        <w:trPr>
          <w:trHeight w:val="390" w:hRule="atLeast"/>
        </w:trPr>
        <w:tc>
          <w:tcPr>
            <w:tcW w:w="2401" w:type="pct"/>
            <w:tcBorders>
              <w:tl2br w:val="nil"/>
              <w:tr2bl w:val="nil"/>
            </w:tcBorders>
            <w:vAlign w:val="center"/>
          </w:tcPr>
          <w:p w14:paraId="38CF13A6">
            <w:pPr>
              <w:widowControl/>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电话：</w:t>
            </w:r>
          </w:p>
        </w:tc>
        <w:tc>
          <w:tcPr>
            <w:tcW w:w="2598" w:type="pct"/>
            <w:tcBorders>
              <w:tl2br w:val="nil"/>
              <w:tr2bl w:val="nil"/>
            </w:tcBorders>
            <w:vAlign w:val="center"/>
          </w:tcPr>
          <w:p w14:paraId="221DDE5E">
            <w:pPr>
              <w:widowControl/>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电话：</w:t>
            </w:r>
          </w:p>
        </w:tc>
      </w:tr>
      <w:tr w14:paraId="702FAC55">
        <w:tblPrEx>
          <w:tblCellMar>
            <w:top w:w="0" w:type="dxa"/>
            <w:left w:w="108" w:type="dxa"/>
            <w:bottom w:w="0" w:type="dxa"/>
            <w:right w:w="108" w:type="dxa"/>
          </w:tblCellMar>
        </w:tblPrEx>
        <w:trPr>
          <w:trHeight w:val="390" w:hRule="atLeast"/>
        </w:trPr>
        <w:tc>
          <w:tcPr>
            <w:tcW w:w="2401" w:type="pct"/>
            <w:vMerge w:val="restart"/>
            <w:tcBorders>
              <w:tl2br w:val="nil"/>
              <w:tr2bl w:val="nil"/>
            </w:tcBorders>
            <w:vAlign w:val="center"/>
          </w:tcPr>
          <w:p w14:paraId="4D6D265D">
            <w:pPr>
              <w:widowControl/>
              <w:jc w:val="left"/>
              <w:rPr>
                <w:rFonts w:ascii="宋体" w:hAnsi="宋体" w:eastAsia="宋体" w:cs="宋体"/>
                <w:color w:val="auto"/>
                <w:kern w:val="0"/>
                <w:sz w:val="21"/>
                <w:szCs w:val="21"/>
              </w:rPr>
            </w:pPr>
          </w:p>
        </w:tc>
        <w:tc>
          <w:tcPr>
            <w:tcW w:w="2598" w:type="pct"/>
            <w:tcBorders>
              <w:tl2br w:val="nil"/>
              <w:tr2bl w:val="nil"/>
            </w:tcBorders>
            <w:vAlign w:val="center"/>
          </w:tcPr>
          <w:p w14:paraId="68E81CDF">
            <w:pPr>
              <w:widowControl/>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开户银行：</w:t>
            </w:r>
          </w:p>
        </w:tc>
      </w:tr>
      <w:tr w14:paraId="718CC379">
        <w:tblPrEx>
          <w:tblCellMar>
            <w:top w:w="0" w:type="dxa"/>
            <w:left w:w="108" w:type="dxa"/>
            <w:bottom w:w="0" w:type="dxa"/>
            <w:right w:w="108" w:type="dxa"/>
          </w:tblCellMar>
        </w:tblPrEx>
        <w:trPr>
          <w:trHeight w:val="390" w:hRule="atLeast"/>
        </w:trPr>
        <w:tc>
          <w:tcPr>
            <w:tcW w:w="2401" w:type="pct"/>
            <w:vMerge w:val="continue"/>
            <w:tcBorders>
              <w:tl2br w:val="nil"/>
              <w:tr2bl w:val="nil"/>
            </w:tcBorders>
            <w:vAlign w:val="center"/>
          </w:tcPr>
          <w:p w14:paraId="55CDDBB4">
            <w:pPr>
              <w:widowControl/>
              <w:jc w:val="left"/>
              <w:rPr>
                <w:rFonts w:ascii="宋体" w:hAnsi="宋体" w:eastAsia="宋体" w:cs="宋体"/>
                <w:color w:val="auto"/>
                <w:kern w:val="0"/>
                <w:sz w:val="21"/>
                <w:szCs w:val="21"/>
              </w:rPr>
            </w:pPr>
          </w:p>
        </w:tc>
        <w:tc>
          <w:tcPr>
            <w:tcW w:w="2598" w:type="pct"/>
            <w:tcBorders>
              <w:tl2br w:val="nil"/>
              <w:tr2bl w:val="nil"/>
            </w:tcBorders>
            <w:vAlign w:val="center"/>
          </w:tcPr>
          <w:p w14:paraId="79B6129D">
            <w:pPr>
              <w:widowControl/>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账号：</w:t>
            </w:r>
          </w:p>
        </w:tc>
      </w:tr>
      <w:tr w14:paraId="351071A2">
        <w:tblPrEx>
          <w:tblCellMar>
            <w:top w:w="0" w:type="dxa"/>
            <w:left w:w="108" w:type="dxa"/>
            <w:bottom w:w="0" w:type="dxa"/>
            <w:right w:w="108" w:type="dxa"/>
          </w:tblCellMar>
        </w:tblPrEx>
        <w:trPr>
          <w:trHeight w:val="390" w:hRule="atLeast"/>
        </w:trPr>
        <w:tc>
          <w:tcPr>
            <w:tcW w:w="2401" w:type="pct"/>
            <w:vMerge w:val="continue"/>
            <w:tcBorders>
              <w:tl2br w:val="nil"/>
              <w:tr2bl w:val="nil"/>
            </w:tcBorders>
            <w:vAlign w:val="center"/>
          </w:tcPr>
          <w:p w14:paraId="35DB7439">
            <w:pPr>
              <w:widowControl/>
              <w:jc w:val="left"/>
              <w:rPr>
                <w:rFonts w:ascii="宋体" w:hAnsi="宋体" w:eastAsia="宋体" w:cs="宋体"/>
                <w:color w:val="auto"/>
                <w:kern w:val="0"/>
                <w:sz w:val="21"/>
                <w:szCs w:val="21"/>
              </w:rPr>
            </w:pPr>
          </w:p>
        </w:tc>
        <w:tc>
          <w:tcPr>
            <w:tcW w:w="2598" w:type="pct"/>
            <w:tcBorders>
              <w:tl2br w:val="nil"/>
              <w:tr2bl w:val="nil"/>
            </w:tcBorders>
            <w:vAlign w:val="center"/>
          </w:tcPr>
          <w:p w14:paraId="49F51529">
            <w:pPr>
              <w:widowControl/>
              <w:jc w:val="left"/>
              <w:rPr>
                <w:rFonts w:ascii="宋体" w:hAnsi="宋体" w:eastAsia="宋体" w:cs="宋体"/>
                <w:color w:val="auto"/>
                <w:kern w:val="0"/>
                <w:sz w:val="21"/>
                <w:szCs w:val="21"/>
              </w:rPr>
            </w:pPr>
          </w:p>
        </w:tc>
      </w:tr>
      <w:tr w14:paraId="4D9E5E8F">
        <w:tblPrEx>
          <w:tblCellMar>
            <w:top w:w="0" w:type="dxa"/>
            <w:left w:w="108" w:type="dxa"/>
            <w:bottom w:w="0" w:type="dxa"/>
            <w:right w:w="108" w:type="dxa"/>
          </w:tblCellMar>
        </w:tblPrEx>
        <w:trPr>
          <w:trHeight w:val="390" w:hRule="atLeast"/>
        </w:trPr>
        <w:tc>
          <w:tcPr>
            <w:tcW w:w="2401" w:type="pct"/>
            <w:tcBorders>
              <w:tl2br w:val="nil"/>
              <w:tr2bl w:val="nil"/>
            </w:tcBorders>
            <w:vAlign w:val="center"/>
          </w:tcPr>
          <w:p w14:paraId="648BC934">
            <w:pPr>
              <w:widowControl/>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日期：     年   月   日</w:t>
            </w:r>
          </w:p>
        </w:tc>
        <w:tc>
          <w:tcPr>
            <w:tcW w:w="2598" w:type="pct"/>
            <w:tcBorders>
              <w:tl2br w:val="nil"/>
              <w:tr2bl w:val="nil"/>
            </w:tcBorders>
            <w:vAlign w:val="center"/>
          </w:tcPr>
          <w:p w14:paraId="2EC77123">
            <w:pPr>
              <w:widowControl/>
              <w:jc w:val="left"/>
              <w:rPr>
                <w:rFonts w:ascii="宋体" w:hAnsi="宋体" w:eastAsia="宋体" w:cs="宋体"/>
                <w:color w:val="auto"/>
                <w:kern w:val="0"/>
                <w:sz w:val="21"/>
                <w:szCs w:val="21"/>
              </w:rPr>
            </w:pPr>
            <w:r>
              <w:rPr>
                <w:rFonts w:hint="eastAsia" w:ascii="宋体" w:hAnsi="宋体" w:eastAsia="宋体" w:cs="宋体"/>
                <w:color w:val="auto"/>
                <w:kern w:val="0"/>
                <w:sz w:val="21"/>
                <w:szCs w:val="21"/>
              </w:rPr>
              <w:t>日期：     年   月   日</w:t>
            </w:r>
          </w:p>
        </w:tc>
      </w:tr>
    </w:tbl>
    <w:p w14:paraId="627D2EA2"/>
    <w:sectPr>
      <w:pgSz w:w="11906" w:h="16838"/>
      <w:pgMar w:top="1440" w:right="1466" w:bottom="1440" w:left="13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755EC"/>
    <w:rsid w:val="08C9415B"/>
    <w:rsid w:val="0C4C3EA9"/>
    <w:rsid w:val="16F6268C"/>
    <w:rsid w:val="2549230B"/>
    <w:rsid w:val="27CB7B5F"/>
    <w:rsid w:val="2DA82AB1"/>
    <w:rsid w:val="30416508"/>
    <w:rsid w:val="375325B8"/>
    <w:rsid w:val="3A2A3071"/>
    <w:rsid w:val="3B7844CB"/>
    <w:rsid w:val="496D09DF"/>
    <w:rsid w:val="53C7562B"/>
    <w:rsid w:val="5CE56383"/>
    <w:rsid w:val="7BB32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heme="minorHAnsi" w:hAnsiTheme="minorHAnsi" w:eastAsiaTheme="minorEastAsia" w:cstheme="minorBidi"/>
      <w:kern w:val="2"/>
      <w:sz w:val="24"/>
      <w:szCs w:val="24"/>
      <w:lang w:val="en-US" w:eastAsia="zh-CN" w:bidi="ar-SA"/>
    </w:rPr>
  </w:style>
  <w:style w:type="paragraph" w:styleId="3">
    <w:name w:val="heading 1"/>
    <w:basedOn w:val="1"/>
    <w:next w:val="1"/>
    <w:qFormat/>
    <w:uiPriority w:val="0"/>
    <w:pPr>
      <w:keepNext/>
      <w:keepLines/>
      <w:spacing w:line="576" w:lineRule="auto"/>
      <w:jc w:val="center"/>
      <w:outlineLvl w:val="0"/>
    </w:pPr>
    <w:rPr>
      <w:rFonts w:eastAsia="宋体"/>
      <w:b/>
      <w:kern w:val="44"/>
      <w:sz w:val="36"/>
    </w:rPr>
  </w:style>
  <w:style w:type="paragraph" w:styleId="4">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Times New Roman"/>
      <w:bCs/>
      <w:szCs w:val="20"/>
    </w:rPr>
  </w:style>
  <w:style w:type="paragraph" w:styleId="5">
    <w:name w:val="Plain Text"/>
    <w:basedOn w:val="1"/>
    <w:qFormat/>
    <w:uiPriority w:val="0"/>
    <w:rPr>
      <w:rFonts w:ascii="宋体" w:hAnsi="Courier New"/>
      <w:szCs w:val="21"/>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2470</Words>
  <Characters>2542</Characters>
  <Lines>0</Lines>
  <Paragraphs>0</Paragraphs>
  <TotalTime>3</TotalTime>
  <ScaleCrop>false</ScaleCrop>
  <LinksUpToDate>false</LinksUpToDate>
  <CharactersWithSpaces>2801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2024-03-04T04:06:00Z</dcterms:created>
  <dc:creator>朱娟</dc:creator>
  <cp:lastModifiedBy>朱娟</cp:lastModifiedBy>
  <dcterms:modified xsi:type="dcterms:W3CDTF">2025-03-18T03:46:56Z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589231A15B654DB6B918AC466F8DFB1C_13</vt:lpwstr>
  </property>
  <property fmtid="{D5CDD505-2E9C-101B-9397-08002B2CF9AE}" pid="4" name="KSOTemplateDocerSaveRecord">
    <vt:lpwstr>eyJoZGlkIjoiMmQxOTU3NzVlZWIwMjUxZDI1ODUwYWNiYjFjY2VmNGIiLCJ1c2VySWQiOiIyMDIwODMyODIifQ==</vt:lpwstr>
  </property>
</Properties>
</file>